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napToGrid w:val="0"/>
        <w:spacing w:after="0"/>
        <w:rPr>
          <w:rFonts w:hint="default" w:eastAsia="宋体"/>
          <w:b/>
          <w:sz w:val="24"/>
          <w:szCs w:val="24"/>
          <w:lang w:val="en-US" w:eastAsia="zh-CN"/>
        </w:rPr>
      </w:pPr>
      <w:bookmarkStart w:id="0" w:name="_Ref494746248"/>
      <w:r>
        <w:rPr>
          <w:rFonts w:hint="eastAsia" w:ascii="Arial" w:hAnsi="Arial"/>
          <w:b/>
          <w:sz w:val="24"/>
          <w:szCs w:val="24"/>
        </w:rPr>
        <w:t>3GPP TSG RAN WG1 #104b-e</w:t>
      </w:r>
      <w:r>
        <w:rPr>
          <w:b/>
          <w:sz w:val="24"/>
          <w:szCs w:val="24"/>
        </w:rPr>
        <w:tab/>
      </w:r>
      <w:r>
        <w:rPr>
          <w:b/>
          <w:sz w:val="24"/>
          <w:szCs w:val="24"/>
        </w:rPr>
        <w:t>R1-210</w:t>
      </w:r>
      <w:r>
        <w:rPr>
          <w:rFonts w:hint="eastAsia" w:eastAsia="宋体"/>
          <w:b/>
          <w:sz w:val="24"/>
          <w:szCs w:val="24"/>
          <w:lang w:val="en-US" w:eastAsia="zh-CN"/>
        </w:rPr>
        <w:t>2486</w:t>
      </w:r>
    </w:p>
    <w:p>
      <w:pPr>
        <w:tabs>
          <w:tab w:val="center" w:pos="4536"/>
          <w:tab w:val="right" w:pos="9072"/>
        </w:tabs>
        <w:rPr>
          <w:rFonts w:ascii="Arial" w:hAnsi="Arial" w:eastAsia="MS Mincho" w:cs="Arial"/>
          <w:b/>
          <w:bCs/>
          <w:sz w:val="24"/>
          <w:szCs w:val="24"/>
          <w:lang w:eastAsia="ja-JP"/>
        </w:rPr>
      </w:pPr>
      <w:r>
        <w:rPr>
          <w:rFonts w:ascii="Arial" w:hAnsi="Arial" w:eastAsia="MS Mincho" w:cs="Arial"/>
          <w:b/>
          <w:bCs/>
          <w:sz w:val="24"/>
          <w:szCs w:val="24"/>
          <w:lang w:eastAsia="ja-JP"/>
        </w:rPr>
        <w:t>e-Meeting, April 12</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xml:space="preserve"> – 20</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2021</w:t>
      </w:r>
    </w:p>
    <w:p>
      <w:pPr>
        <w:tabs>
          <w:tab w:val="left" w:pos="1985"/>
        </w:tabs>
        <w:spacing w:after="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p>
    <w:p>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the maximum number of configurable candidates for DCI format 2_4</w:t>
      </w:r>
    </w:p>
    <w:p>
      <w:pPr>
        <w:tabs>
          <w:tab w:val="left" w:pos="1985"/>
        </w:tabs>
        <w:spacing w:after="0"/>
        <w:rPr>
          <w:rFonts w:hint="default"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7.</w:t>
      </w:r>
      <w:r>
        <w:rPr>
          <w:rFonts w:hint="eastAsia" w:ascii="Arial" w:hAnsi="Arial"/>
          <w:b/>
          <w:sz w:val="22"/>
          <w:szCs w:val="22"/>
          <w:lang w:val="en-US" w:eastAsia="zh-CN"/>
        </w:rPr>
        <w:t>2.5</w:t>
      </w:r>
    </w:p>
    <w:p>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Discussion/Decision</w:t>
      </w:r>
    </w:p>
    <w:p>
      <w:pPr>
        <w:pStyle w:val="2"/>
        <w:textAlignment w:val="auto"/>
      </w:pPr>
      <w:bookmarkStart w:id="2" w:name="_Ref4817"/>
      <w:r>
        <w:t>Introduction</w:t>
      </w:r>
      <w:bookmarkEnd w:id="0"/>
      <w:bookmarkEnd w:id="2"/>
    </w:p>
    <w:p>
      <w:pPr>
        <w:rPr>
          <w:lang w:val="en-GB" w:eastAsia="zh-CN"/>
        </w:rPr>
      </w:pPr>
      <w:r>
        <w:rPr>
          <w:lang w:val="en-GB" w:eastAsia="zh-CN"/>
        </w:rPr>
        <w:t>A</w:t>
      </w:r>
      <w:r>
        <w:rPr>
          <w:rFonts w:hint="eastAsia"/>
          <w:lang w:val="en-US" w:eastAsia="zh-CN"/>
        </w:rPr>
        <w:t>bout the maximum number of configurable PDCCH candidates for DCI format 2_4, the following agreements were reached in RAN1#100-e and RAN1#100b-e meetings</w:t>
      </w:r>
      <w:r>
        <w:rPr>
          <w:lang w:val="en-GB" w:eastAsia="zh-CN"/>
        </w:rPr>
        <w:t xml:space="preserve"> [1][2]</w:t>
      </w:r>
      <w:r>
        <w:rPr>
          <w:rFonts w:hint="eastAsia"/>
          <w:lang w:val="en-US" w:eastAsia="zh-CN"/>
        </w:rPr>
        <w:t xml:space="preserve">. More specifically, only 1 BD can be configured per UL CI monitoring occasion. </w:t>
      </w:r>
    </w:p>
    <w:tbl>
      <w:tblPr>
        <w:tblStyle w:val="51"/>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1" w:type="dxa"/>
          </w:tcPr>
          <w:p>
            <w:pPr>
              <w:keepNext w:val="0"/>
              <w:keepLines w:val="0"/>
              <w:pageBreakBefore w:val="0"/>
              <w:widowControl/>
              <w:kinsoku/>
              <w:wordWrap/>
              <w:overflowPunct w:val="0"/>
              <w:topLinePunct w:val="0"/>
              <w:autoSpaceDE w:val="0"/>
              <w:autoSpaceDN w:val="0"/>
              <w:bidi w:val="0"/>
              <w:adjustRightInd w:val="0"/>
              <w:snapToGrid/>
              <w:spacing w:before="120" w:after="120" w:line="280" w:lineRule="atLeast"/>
              <w:textAlignment w:val="baseline"/>
              <w:rPr>
                <w:rFonts w:hint="default" w:ascii="Times New Roman" w:hAnsi="Times New Roman" w:eastAsia="等线"/>
                <w:b/>
                <w:bCs/>
                <w:sz w:val="20"/>
                <w:szCs w:val="20"/>
                <w:lang w:val="en-US" w:eastAsia="zh-CN"/>
              </w:rPr>
            </w:pPr>
            <w:r>
              <w:rPr>
                <w:rFonts w:ascii="Times New Roman" w:hAnsi="Times New Roman" w:eastAsia="等线"/>
                <w:b/>
                <w:bCs/>
                <w:sz w:val="20"/>
                <w:szCs w:val="20"/>
                <w:highlight w:val="green"/>
              </w:rPr>
              <w:t>Agreements</w:t>
            </w:r>
            <w:r>
              <w:rPr>
                <w:rFonts w:ascii="Times New Roman" w:hAnsi="Times New Roman" w:eastAsia="等线"/>
                <w:b/>
                <w:bCs/>
                <w:sz w:val="20"/>
                <w:szCs w:val="20"/>
              </w:rPr>
              <w:t>:</w:t>
            </w:r>
            <w:r>
              <w:rPr>
                <w:rFonts w:hint="eastAsia" w:eastAsia="等线"/>
                <w:b/>
                <w:bCs/>
                <w:sz w:val="20"/>
                <w:szCs w:val="20"/>
                <w:lang w:val="en-US" w:eastAsia="zh-CN"/>
              </w:rPr>
              <w:t xml:space="preserve"> (RAN1#100-e in </w:t>
            </w:r>
            <w:r>
              <w:rPr>
                <w:rFonts w:ascii="Times New Roman" w:hAnsi="Times New Roman"/>
                <w:b/>
                <w:bCs/>
                <w:sz w:val="20"/>
                <w:lang w:val="en-US"/>
              </w:rPr>
              <w:t>24</w:t>
            </w:r>
            <w:r>
              <w:rPr>
                <w:rFonts w:ascii="Times New Roman" w:hAnsi="Times New Roman"/>
                <w:b/>
                <w:bCs/>
                <w:sz w:val="20"/>
                <w:vertAlign w:val="superscript"/>
                <w:lang w:val="en-US"/>
              </w:rPr>
              <w:t>th</w:t>
            </w:r>
            <w:r>
              <w:rPr>
                <w:rFonts w:ascii="Times New Roman" w:hAnsi="Times New Roman"/>
                <w:b/>
                <w:bCs/>
                <w:sz w:val="20"/>
                <w:lang w:val="en-US"/>
              </w:rPr>
              <w:t xml:space="preserve"> February – 6</w:t>
            </w:r>
            <w:r>
              <w:rPr>
                <w:rFonts w:ascii="Times New Roman" w:hAnsi="Times New Roman"/>
                <w:b/>
                <w:bCs/>
                <w:sz w:val="20"/>
                <w:vertAlign w:val="superscript"/>
                <w:lang w:val="en-US"/>
              </w:rPr>
              <w:t>th</w:t>
            </w:r>
            <w:r>
              <w:rPr>
                <w:rFonts w:ascii="Times New Roman" w:hAnsi="Times New Roman"/>
                <w:b/>
                <w:bCs/>
                <w:sz w:val="20"/>
                <w:lang w:val="en-US"/>
              </w:rPr>
              <w:t xml:space="preserve"> March 2020</w:t>
            </w:r>
            <w:r>
              <w:rPr>
                <w:rFonts w:hint="eastAsia" w:eastAsia="等线"/>
                <w:b/>
                <w:bCs/>
                <w:sz w:val="20"/>
                <w:szCs w:val="20"/>
                <w:lang w:val="en-US" w:eastAsia="zh-CN"/>
              </w:rPr>
              <w:t>)</w:t>
            </w:r>
          </w:p>
          <w:p>
            <w:pPr>
              <w:pStyle w:val="114"/>
              <w:numPr>
                <w:ilvl w:val="0"/>
                <w:numId w:val="9"/>
              </w:numPr>
              <w:overflowPunct/>
              <w:autoSpaceDE/>
              <w:autoSpaceDN/>
              <w:adjustRightInd/>
              <w:spacing w:before="120" w:after="0" w:line="280" w:lineRule="atLeast"/>
              <w:contextualSpacing w:val="0"/>
              <w:textAlignment w:val="auto"/>
              <w:rPr>
                <w:rFonts w:eastAsia="等线"/>
                <w:sz w:val="20"/>
                <w:szCs w:val="20"/>
              </w:rPr>
            </w:pPr>
            <w:r>
              <w:rPr>
                <w:rFonts w:eastAsia="等线"/>
                <w:sz w:val="20"/>
                <w:szCs w:val="20"/>
              </w:rPr>
              <w:t>The maximum UL CI monitoring periodicity is</w:t>
            </w:r>
            <w:r>
              <w:rPr>
                <w:rFonts w:hint="eastAsia" w:eastAsia="等线"/>
                <w:sz w:val="20"/>
                <w:szCs w:val="20"/>
                <w:lang w:val="en-US" w:eastAsia="zh-CN"/>
              </w:rPr>
              <w:t xml:space="preserve"> </w:t>
            </w:r>
            <w:r>
              <w:rPr>
                <w:rFonts w:eastAsia="等线"/>
                <w:sz w:val="20"/>
                <w:szCs w:val="20"/>
              </w:rPr>
              <w:t>10</w:t>
            </w:r>
            <w:r>
              <w:rPr>
                <w:rFonts w:hint="eastAsia" w:eastAsia="等线"/>
                <w:sz w:val="20"/>
                <w:szCs w:val="20"/>
                <w:lang w:val="en-US" w:eastAsia="zh-CN"/>
              </w:rPr>
              <w:t xml:space="preserve"> </w:t>
            </w:r>
            <w:r>
              <w:rPr>
                <w:rFonts w:eastAsia="等线"/>
                <w:sz w:val="20"/>
                <w:szCs w:val="20"/>
              </w:rPr>
              <w:t>slots.</w:t>
            </w:r>
          </w:p>
          <w:p>
            <w:pPr>
              <w:pStyle w:val="114"/>
              <w:numPr>
                <w:ilvl w:val="0"/>
                <w:numId w:val="9"/>
              </w:numPr>
              <w:overflowPunct/>
              <w:autoSpaceDE/>
              <w:autoSpaceDN/>
              <w:adjustRightInd/>
              <w:spacing w:before="120" w:after="0" w:line="280" w:lineRule="atLeast"/>
              <w:contextualSpacing w:val="0"/>
              <w:textAlignment w:val="auto"/>
              <w:rPr>
                <w:rFonts w:eastAsia="等线"/>
                <w:sz w:val="20"/>
                <w:szCs w:val="20"/>
              </w:rPr>
            </w:pPr>
            <w:r>
              <w:rPr>
                <w:rFonts w:eastAsia="等线"/>
                <w:sz w:val="20"/>
                <w:szCs w:val="20"/>
              </w:rPr>
              <w:t>Up to X BDs can be configured per UL CI monitoring occasion, X to be decided between X=1 or X=2 in RAN1#100bis.</w:t>
            </w:r>
          </w:p>
          <w:p>
            <w:pPr>
              <w:spacing w:before="120" w:line="280" w:lineRule="atLeast"/>
              <w:rPr>
                <w:rFonts w:ascii="Times New Roman" w:hAnsi="Times New Roman"/>
                <w:lang w:val="en-US" w:eastAsia="zh-CN"/>
              </w:rPr>
            </w:pPr>
            <w:r>
              <w:rPr>
                <w:rFonts w:ascii="Times New Roman" w:hAnsi="Times New Roman"/>
                <w:lang w:eastAsia="zh-CN"/>
              </w:rPr>
              <w:t xml:space="preserve">No </w:t>
            </w:r>
            <w:r>
              <w:rPr>
                <w:rFonts w:ascii="Times New Roman" w:hAnsi="Times New Roman"/>
                <w:lang w:val="en-US" w:eastAsia="zh-CN"/>
              </w:rPr>
              <w:t>RAN1 spec impact - RRC parameter update only.</w:t>
            </w:r>
          </w:p>
          <w:p>
            <w:pPr>
              <w:keepNext w:val="0"/>
              <w:keepLines w:val="0"/>
              <w:pageBreakBefore w:val="0"/>
              <w:widowControl/>
              <w:kinsoku/>
              <w:wordWrap/>
              <w:overflowPunct w:val="0"/>
              <w:topLinePunct w:val="0"/>
              <w:autoSpaceDE w:val="0"/>
              <w:autoSpaceDN w:val="0"/>
              <w:bidi w:val="0"/>
              <w:adjustRightInd w:val="0"/>
              <w:snapToGrid/>
              <w:spacing w:before="120" w:after="120" w:line="280" w:lineRule="atLeast"/>
              <w:textAlignment w:val="baseline"/>
              <w:rPr>
                <w:rFonts w:hint="default" w:ascii="Times New Roman" w:hAnsi="Times New Roman" w:eastAsia="等线"/>
                <w:b/>
                <w:bCs/>
                <w:sz w:val="20"/>
                <w:szCs w:val="20"/>
                <w:highlight w:val="green"/>
                <w:lang w:val="en-US" w:eastAsia="zh-CN"/>
              </w:rPr>
            </w:pPr>
            <w:r>
              <w:rPr>
                <w:rFonts w:ascii="Times New Roman" w:hAnsi="Times New Roman" w:eastAsia="等线"/>
                <w:b/>
                <w:bCs/>
                <w:sz w:val="20"/>
                <w:szCs w:val="20"/>
                <w:highlight w:val="green"/>
              </w:rPr>
              <w:t>Agreements</w:t>
            </w:r>
            <w:r>
              <w:rPr>
                <w:rFonts w:ascii="Times New Roman" w:hAnsi="Times New Roman" w:eastAsia="等线"/>
                <w:b/>
                <w:bCs/>
                <w:sz w:val="20"/>
                <w:szCs w:val="20"/>
                <w:highlight w:val="none"/>
              </w:rPr>
              <w:t>:</w:t>
            </w:r>
            <w:r>
              <w:rPr>
                <w:rFonts w:hint="eastAsia" w:ascii="Times New Roman" w:hAnsi="Times New Roman" w:eastAsia="等线"/>
                <w:b/>
                <w:bCs/>
                <w:sz w:val="20"/>
                <w:szCs w:val="20"/>
                <w:highlight w:val="none"/>
                <w:lang w:val="en-US" w:eastAsia="zh-CN"/>
              </w:rPr>
              <w:t xml:space="preserve"> (RAN1#100b-e</w:t>
            </w:r>
            <w:r>
              <w:rPr>
                <w:rFonts w:hint="eastAsia" w:eastAsia="等线"/>
                <w:b/>
                <w:bCs/>
                <w:sz w:val="20"/>
                <w:szCs w:val="20"/>
                <w:highlight w:val="none"/>
                <w:lang w:val="en-US" w:eastAsia="zh-CN"/>
              </w:rPr>
              <w:t xml:space="preserve"> in </w:t>
            </w:r>
            <w:r>
              <w:rPr>
                <w:rFonts w:ascii="Times New Roman" w:hAnsi="Times New Roman"/>
                <w:b/>
                <w:bCs/>
                <w:sz w:val="20"/>
                <w:lang w:val="en-US"/>
              </w:rPr>
              <w:t>20</w:t>
            </w:r>
            <w:r>
              <w:rPr>
                <w:rFonts w:ascii="Times New Roman" w:hAnsi="Times New Roman"/>
                <w:b/>
                <w:bCs/>
                <w:sz w:val="20"/>
                <w:vertAlign w:val="superscript"/>
                <w:lang w:val="en-US"/>
              </w:rPr>
              <w:t>th</w:t>
            </w:r>
            <w:r>
              <w:rPr>
                <w:rFonts w:ascii="Times New Roman" w:hAnsi="Times New Roman"/>
                <w:b/>
                <w:bCs/>
                <w:sz w:val="20"/>
                <w:lang w:val="en-US"/>
              </w:rPr>
              <w:t xml:space="preserve"> – 30</w:t>
            </w:r>
            <w:r>
              <w:rPr>
                <w:rFonts w:ascii="Times New Roman" w:hAnsi="Times New Roman"/>
                <w:b/>
                <w:bCs/>
                <w:sz w:val="20"/>
                <w:vertAlign w:val="superscript"/>
                <w:lang w:val="en-US"/>
              </w:rPr>
              <w:t>th</w:t>
            </w:r>
            <w:r>
              <w:rPr>
                <w:rFonts w:ascii="Times New Roman" w:hAnsi="Times New Roman"/>
                <w:b/>
                <w:bCs/>
                <w:sz w:val="20"/>
                <w:lang w:val="en-US"/>
              </w:rPr>
              <w:t xml:space="preserve"> April 2020</w:t>
            </w:r>
            <w:r>
              <w:rPr>
                <w:rFonts w:hint="eastAsia" w:ascii="Times New Roman" w:hAnsi="Times New Roman" w:eastAsia="等线"/>
                <w:b/>
                <w:bCs/>
                <w:sz w:val="20"/>
                <w:szCs w:val="20"/>
                <w:highlight w:val="none"/>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after="0" w:line="280" w:lineRule="atLeast"/>
              <w:textAlignment w:val="baseline"/>
            </w:pPr>
            <w:r>
              <w:t>Up to X BDs can be configured per UL CI monitoring occasion</w:t>
            </w:r>
          </w:p>
          <w:p>
            <w:pPr>
              <w:pStyle w:val="114"/>
              <w:numPr>
                <w:ilvl w:val="0"/>
                <w:numId w:val="9"/>
              </w:numPr>
              <w:overflowPunct/>
              <w:autoSpaceDE/>
              <w:autoSpaceDN/>
              <w:adjustRightInd/>
              <w:spacing w:before="120" w:after="0" w:line="280" w:lineRule="atLeast"/>
              <w:contextualSpacing w:val="0"/>
              <w:textAlignment w:val="auto"/>
              <w:rPr>
                <w:rFonts w:eastAsia="等线"/>
                <w:sz w:val="20"/>
                <w:szCs w:val="20"/>
              </w:rPr>
            </w:pPr>
            <w:r>
              <w:rPr>
                <w:rFonts w:eastAsia="等线"/>
                <w:sz w:val="20"/>
                <w:szCs w:val="20"/>
              </w:rPr>
              <w:t>For ULCI monitoring occasion determination, search space sets start at a same OFDM symbol correspond to a same monitoring occasion</w:t>
            </w:r>
          </w:p>
          <w:p>
            <w:pPr>
              <w:pStyle w:val="114"/>
              <w:numPr>
                <w:ilvl w:val="0"/>
                <w:numId w:val="9"/>
              </w:numPr>
              <w:overflowPunct/>
              <w:autoSpaceDE/>
              <w:autoSpaceDN/>
              <w:adjustRightInd/>
              <w:spacing w:before="120" w:after="0" w:line="280" w:lineRule="atLeast"/>
              <w:contextualSpacing w:val="0"/>
              <w:textAlignment w:val="auto"/>
              <w:rPr>
                <w:rFonts w:eastAsia="等线"/>
                <w:sz w:val="20"/>
                <w:szCs w:val="20"/>
              </w:rPr>
            </w:pPr>
            <w:r>
              <w:rPr>
                <w:rFonts w:eastAsia="等线"/>
                <w:sz w:val="20"/>
                <w:szCs w:val="20"/>
              </w:rPr>
              <w:t>X=1</w:t>
            </w:r>
          </w:p>
          <w:p>
            <w:pPr>
              <w:overflowPunct/>
              <w:autoSpaceDE/>
              <w:autoSpaceDN/>
              <w:adjustRightInd/>
              <w:spacing w:before="0" w:after="0" w:line="240" w:lineRule="auto"/>
              <w:jc w:val="left"/>
              <w:textAlignment w:val="auto"/>
              <w:rPr>
                <w:lang w:val="en-GB" w:eastAsia="zh-CN"/>
              </w:rPr>
            </w:pP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lang w:val="en-GB" w:eastAsia="zh-CN"/>
        </w:rPr>
      </w:pPr>
      <w:r>
        <w:rPr>
          <w:rFonts w:hint="eastAsia"/>
          <w:lang w:val="en-US" w:eastAsia="zh-CN"/>
        </w:rPr>
        <w:t xml:space="preserve">As copied below, some related description and signaling structure were added in TS 38.213 [3] and TS 38.331 [4] respectively for reflecting the above agreements. </w:t>
      </w:r>
    </w:p>
    <w:tbl>
      <w:tblPr>
        <w:tblStyle w:val="51"/>
        <w:tblW w:w="0" w:type="auto"/>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keepNext w:val="0"/>
              <w:keepLines w:val="0"/>
              <w:pageBreakBefore w:val="0"/>
              <w:widowControl/>
              <w:kinsoku/>
              <w:wordWrap/>
              <w:overflowPunct w:val="0"/>
              <w:topLinePunct w:val="0"/>
              <w:autoSpaceDE w:val="0"/>
              <w:autoSpaceDN w:val="0"/>
              <w:bidi w:val="0"/>
              <w:adjustRightInd w:val="0"/>
              <w:snapToGrid/>
              <w:spacing w:before="120" w:after="120" w:line="280" w:lineRule="atLeast"/>
              <w:textAlignment w:val="baseline"/>
              <w:rPr>
                <w:rFonts w:hint="eastAsia" w:ascii="Times New Roman" w:hAnsi="Times New Roman" w:eastAsia="等线"/>
                <w:b/>
                <w:bCs/>
                <w:sz w:val="22"/>
                <w:szCs w:val="22"/>
                <w:highlight w:val="none"/>
                <w:lang w:val="en-US" w:eastAsia="zh-CN"/>
              </w:rPr>
            </w:pPr>
            <w:r>
              <w:rPr>
                <w:rFonts w:hint="eastAsia" w:ascii="Times New Roman" w:hAnsi="Times New Roman" w:eastAsia="等线"/>
                <w:b/>
                <w:bCs/>
                <w:sz w:val="22"/>
                <w:szCs w:val="22"/>
                <w:highlight w:val="none"/>
                <w:lang w:val="en-US" w:eastAsia="zh-CN"/>
              </w:rPr>
              <w:t>TS 38.213</w:t>
            </w:r>
          </w:p>
          <w:p>
            <w:pPr>
              <w:pStyle w:val="3"/>
              <w:numPr>
                <w:ilvl w:val="1"/>
                <w:numId w:val="0"/>
              </w:numPr>
              <w:spacing w:line="280" w:lineRule="atLeast"/>
              <w:ind w:leftChars="0"/>
              <w:jc w:val="both"/>
            </w:pPr>
            <w:bookmarkStart w:id="3" w:name="_Toc36498195"/>
            <w:bookmarkStart w:id="4" w:name="_Toc29917321"/>
            <w:bookmarkStart w:id="5" w:name="_Toc60601340"/>
            <w:bookmarkStart w:id="6" w:name="_Toc45699223"/>
            <w:bookmarkStart w:id="7" w:name="_Toc29899169"/>
            <w:bookmarkStart w:id="8" w:name="_Toc29899587"/>
            <w:bookmarkStart w:id="9" w:name="_Toc29894870"/>
            <w:bookmarkStart w:id="10" w:name="OLE_LINK1"/>
            <w:r>
              <w:rPr>
                <w:lang w:eastAsia="zh-CN"/>
              </w:rPr>
              <w:t>11.2A</w:t>
            </w:r>
            <w:r>
              <w:rPr>
                <w:lang w:eastAsia="zh-CN"/>
              </w:rPr>
              <w:tab/>
            </w:r>
            <w:r>
              <w:rPr>
                <w:lang w:eastAsia="zh-CN"/>
              </w:rPr>
              <w:t>Cancellation indication</w:t>
            </w:r>
            <w:bookmarkEnd w:id="3"/>
            <w:bookmarkEnd w:id="4"/>
            <w:bookmarkEnd w:id="5"/>
            <w:bookmarkEnd w:id="6"/>
            <w:bookmarkEnd w:id="7"/>
            <w:bookmarkEnd w:id="8"/>
            <w:bookmarkEnd w:id="9"/>
          </w:p>
          <w:p>
            <w:pPr>
              <w:spacing w:before="120" w:line="280" w:lineRule="atLeast"/>
              <w:rPr>
                <w:lang w:val="en-US"/>
              </w:rPr>
            </w:pPr>
            <w:r>
              <w:rPr>
                <w:lang w:eastAsia="zh-CN"/>
              </w:rPr>
              <w:t xml:space="preserve">If a UE is provided </w:t>
            </w:r>
            <w:r>
              <w:rPr>
                <w:i/>
              </w:rPr>
              <w:t>UplinkCancellation</w:t>
            </w:r>
            <w:r>
              <w:rPr>
                <w:lang w:val="en-US"/>
              </w:rPr>
              <w:t xml:space="preserve">, the UE is provided, in one or more serving cells, a search space set for monitoring </w:t>
            </w:r>
            <w:r>
              <w:rPr>
                <w:color w:val="FF0000"/>
                <w:lang w:val="en-US"/>
              </w:rPr>
              <w:t>the first PDCCH candidate</w:t>
            </w:r>
            <w:r>
              <w:rPr>
                <w:lang w:val="en-US"/>
              </w:rPr>
              <w:t xml:space="preserve"> </w:t>
            </w:r>
            <w:r>
              <w:t xml:space="preserve">with a CCE aggregation level of </w:t>
            </w:r>
            <m:oMath>
              <m:sSub>
                <m:sSubPr>
                  <m:ctrlPr>
                    <w:rPr>
                      <w:rFonts w:ascii="Cambria Math" w:hAnsi="Cambria Math"/>
                      <w:i/>
                      <w:iCs/>
                      <w:sz w:val="24"/>
                      <w:szCs w:val="24"/>
                    </w:rPr>
                  </m:ctrlPr>
                </m:sSubPr>
                <m:e>
                  <m:r>
                    <w:rPr>
                      <w:rFonts w:ascii="Cambria Math" w:hAnsi="Cambria Math"/>
                    </w:rPr>
                    <m:t>L</m:t>
                  </m:r>
                  <m:ctrlPr>
                    <w:rPr>
                      <w:rFonts w:ascii="Cambria Math" w:hAnsi="Cambria Math"/>
                      <w:i/>
                      <w:iCs/>
                      <w:sz w:val="24"/>
                      <w:szCs w:val="24"/>
                    </w:rPr>
                  </m:ctrlPr>
                </m:e>
                <m:sub>
                  <m:r>
                    <w:rPr>
                      <w:rFonts w:ascii="Cambria Math" w:hAnsi="Cambria Math"/>
                    </w:rPr>
                    <m:t>CI</m:t>
                  </m:r>
                  <m:ctrlPr>
                    <w:rPr>
                      <w:rFonts w:ascii="Cambria Math" w:hAnsi="Cambria Math"/>
                      <w:i/>
                      <w:iCs/>
                      <w:sz w:val="24"/>
                      <w:szCs w:val="24"/>
                    </w:rPr>
                  </m:ctrlPr>
                </m:sub>
              </m:sSub>
            </m:oMath>
            <w:r>
              <w:t xml:space="preserve"> CCEs </w:t>
            </w:r>
            <w:r>
              <w:rPr>
                <w:lang w:val="en-US"/>
              </w:rPr>
              <w:t xml:space="preserve">of the search space set for detection of a DCI format 2_4 [5, TS 38.212] with </w:t>
            </w:r>
            <w:r>
              <w:t xml:space="preserve">a </w:t>
            </w:r>
            <w:r>
              <w:rPr>
                <w:lang w:val="en-US"/>
              </w:rPr>
              <w:t xml:space="preserve">CI-RNTI provided by </w:t>
            </w:r>
            <w:r>
              <w:rPr>
                <w:i/>
                <w:lang w:val="en-US"/>
              </w:rPr>
              <w:t>ci-RNTI</w:t>
            </w:r>
            <w:r>
              <w:rPr>
                <w:lang w:val="en-US"/>
              </w:rPr>
              <w:t xml:space="preserve"> as described in Clause 10.1. </w:t>
            </w:r>
            <w:r>
              <w:rPr>
                <w:i/>
              </w:rPr>
              <w:t>UplinkCancellation</w:t>
            </w:r>
            <w:r>
              <w:rPr>
                <w:lang w:val="en-US"/>
              </w:rPr>
              <w:t xml:space="preserve"> additionally provides to the UE </w:t>
            </w:r>
          </w:p>
          <w:bookmarkEnd w:id="10"/>
          <w:p>
            <w:pPr>
              <w:pStyle w:val="3"/>
              <w:numPr>
                <w:ilvl w:val="1"/>
                <w:numId w:val="0"/>
              </w:numPr>
              <w:spacing w:line="280" w:lineRule="atLeast"/>
              <w:ind w:leftChars="0"/>
              <w:jc w:val="both"/>
              <w:rPr>
                <w:rFonts w:hint="default" w:ascii="Times New Roman" w:hAnsi="Times New Roman" w:cs="Times New Roman"/>
                <w:b/>
                <w:iCs/>
                <w:color w:val="FF0000"/>
                <w:sz w:val="20"/>
                <w:szCs w:val="20"/>
              </w:rPr>
            </w:pPr>
            <w:r>
              <w:rPr>
                <w:rFonts w:hint="default" w:ascii="Times New Roman" w:hAnsi="Times New Roman" w:cs="Times New Roman"/>
                <w:b/>
                <w:iCs/>
                <w:color w:val="FF0000"/>
                <w:sz w:val="20"/>
                <w:szCs w:val="20"/>
              </w:rPr>
              <w:t>&lt;Unchanged parts are omitted&gt;</w:t>
            </w:r>
          </w:p>
          <w:p>
            <w:pPr>
              <w:spacing w:before="120" w:line="280" w:lineRule="atLeast"/>
              <w:rPr>
                <w:rFonts w:hint="default"/>
                <w:vertAlign w:val="baseline"/>
                <w:lang w:val="en-US" w:eastAsia="zh-CN"/>
              </w:rPr>
            </w:pPr>
            <w:r>
              <w:rPr>
                <w:rFonts w:hint="eastAsia"/>
                <w:vertAlign w:val="baseline"/>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80" w:lineRule="atLeast"/>
              <w:textAlignment w:val="baseline"/>
              <w:rPr>
                <w:rFonts w:hint="eastAsia" w:ascii="Times New Roman" w:hAnsi="Times New Roman" w:eastAsia="等线"/>
                <w:b/>
                <w:bCs/>
                <w:sz w:val="22"/>
                <w:szCs w:val="22"/>
                <w:highlight w:val="none"/>
                <w:lang w:val="en-US" w:eastAsia="zh-CN"/>
              </w:rPr>
            </w:pPr>
            <w:r>
              <w:rPr>
                <w:rFonts w:hint="eastAsia" w:ascii="Times New Roman" w:hAnsi="Times New Roman" w:eastAsia="等线"/>
                <w:b/>
                <w:bCs/>
                <w:sz w:val="22"/>
                <w:szCs w:val="22"/>
                <w:highlight w:val="none"/>
                <w:lang w:val="en-US" w:eastAsia="zh-CN"/>
              </w:rPr>
              <w:t>TS 38.331</w:t>
            </w:r>
          </w:p>
          <w:p>
            <w:pPr>
              <w:pStyle w:val="67"/>
              <w:spacing w:line="280" w:lineRule="atLeast"/>
            </w:pPr>
            <w:r>
              <w:rPr>
                <w:i/>
              </w:rPr>
              <w:t>SearchSpace</w:t>
            </w:r>
            <w:r>
              <w:t xml:space="preserve"> information element</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rPr>
                <w:color w:val="808080"/>
              </w:rPr>
            </w:pPr>
            <w:r>
              <w:rPr>
                <w:color w:val="808080"/>
              </w:rPr>
              <w:t>-- ASN1START</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rPr>
                <w:color w:val="808080"/>
              </w:rPr>
            </w:pPr>
            <w:r>
              <w:rPr>
                <w:color w:val="808080"/>
              </w:rPr>
              <w:t>-- TAG-SEARCHSPACE-START</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pP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pPr>
            <w:r>
              <w:t xml:space="preserve">SearchSpace ::=                         </w:t>
            </w:r>
            <w:r>
              <w:rPr>
                <w:color w:val="993366"/>
              </w:rPr>
              <w:t>SEQUENCE</w:t>
            </w:r>
            <w:r>
              <w:t xml:space="preserve"> {</w:t>
            </w:r>
          </w:p>
          <w:p>
            <w:pPr>
              <w:pStyle w:val="157"/>
              <w:keepNext w:val="0"/>
              <w:keepLines w:val="0"/>
              <w:pageBreakBefore w:val="0"/>
              <w:widowControl/>
              <w:kinsoku/>
              <w:wordWrap/>
              <w:overflowPunct w:val="0"/>
              <w:topLinePunct w:val="0"/>
              <w:autoSpaceDE w:val="0"/>
              <w:autoSpaceDN w:val="0"/>
              <w:bidi w:val="0"/>
              <w:adjustRightInd w:val="0"/>
              <w:snapToGrid/>
              <w:spacing w:before="0" w:beforeAutospacing="0" w:after="0" w:line="240" w:lineRule="auto"/>
              <w:jc w:val="both"/>
              <w:textAlignment w:val="baseline"/>
              <w:rPr>
                <w:rFonts w:hint="eastAsia"/>
                <w:lang w:val="en-US" w:eastAsia="zh-CN"/>
              </w:rPr>
            </w:pPr>
            <w:r>
              <w:rPr>
                <w:rFonts w:hint="eastAsia"/>
                <w:lang w:val="en-US" w:eastAsia="zh-CN"/>
              </w:rPr>
              <w:t>...</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pPr>
            <w:r>
              <w:t xml:space="preserve">    searchSpaceType-r16                     </w:t>
            </w:r>
            <w:r>
              <w:rPr>
                <w:color w:val="993366"/>
              </w:rPr>
              <w:t>SEQUENCE</w:t>
            </w:r>
            <w:r>
              <w:t xml:space="preserve"> {</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pPr>
            <w:r>
              <w:t xml:space="preserve">        common-r16                              </w:t>
            </w:r>
            <w:r>
              <w:rPr>
                <w:color w:val="993366"/>
              </w:rPr>
              <w:t>SEQUENCE</w:t>
            </w:r>
            <w:r>
              <w:t xml:space="preserve"> {</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pPr>
            <w:r>
              <w:t xml:space="preserve">            dci-Format2-4-r16                       </w:t>
            </w:r>
            <w:r>
              <w:rPr>
                <w:color w:val="993366"/>
              </w:rPr>
              <w:t>SEQUENCE</w:t>
            </w:r>
            <w:r>
              <w:t xml:space="preserve"> {</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pPr>
            <w:r>
              <w:t xml:space="preserve">                nrofCandidates-CI-r16                   </w:t>
            </w:r>
            <w:r>
              <w:rPr>
                <w:color w:val="993366"/>
              </w:rPr>
              <w:t>SEQUENCE</w:t>
            </w:r>
            <w:r>
              <w:t xml:space="preserve"> {</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rPr>
                <w:color w:val="808080"/>
              </w:rPr>
            </w:pPr>
            <w:r>
              <w:t xml:space="preserve">                    aggregationLevel1-r16                   </w:t>
            </w:r>
            <w:r>
              <w:rPr>
                <w:color w:val="993366"/>
              </w:rPr>
              <w:t>ENUMERATED</w:t>
            </w:r>
            <w:r>
              <w:t xml:space="preserve"> {</w:t>
            </w:r>
            <w:r>
              <w:rPr>
                <w:color w:val="FF0000"/>
              </w:rPr>
              <w:t>n1, n2</w:t>
            </w:r>
            <w:r>
              <w:t xml:space="preserve">}      </w:t>
            </w:r>
            <w:r>
              <w:rPr>
                <w:color w:val="993366"/>
              </w:rPr>
              <w:t>OPTIONAL</w:t>
            </w:r>
            <w:r>
              <w:t xml:space="preserve">,   </w:t>
            </w:r>
            <w:r>
              <w:rPr>
                <w:color w:val="808080"/>
              </w:rPr>
              <w:t>-- Need R</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rPr>
                <w:color w:val="808080"/>
              </w:rPr>
            </w:pPr>
            <w:r>
              <w:t xml:space="preserve">                    aggregationLevel2-r16                   </w:t>
            </w:r>
            <w:r>
              <w:rPr>
                <w:color w:val="993366"/>
              </w:rPr>
              <w:t>ENUMERATED</w:t>
            </w:r>
            <w:r>
              <w:t xml:space="preserve"> {</w:t>
            </w:r>
            <w:r>
              <w:rPr>
                <w:color w:val="FF0000"/>
              </w:rPr>
              <w:t>n1, n2</w:t>
            </w:r>
            <w:r>
              <w:t xml:space="preserve">}      </w:t>
            </w:r>
            <w:r>
              <w:rPr>
                <w:color w:val="993366"/>
              </w:rPr>
              <w:t>OPTIONAL</w:t>
            </w:r>
            <w:r>
              <w:t xml:space="preserve">,   </w:t>
            </w:r>
            <w:r>
              <w:rPr>
                <w:color w:val="808080"/>
              </w:rPr>
              <w:t>-- Need R</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rPr>
                <w:color w:val="808080"/>
              </w:rPr>
            </w:pPr>
            <w:r>
              <w:t xml:space="preserve">                    aggregationLevel4-r16                   </w:t>
            </w:r>
            <w:r>
              <w:rPr>
                <w:color w:val="993366"/>
              </w:rPr>
              <w:t>ENUMERATED</w:t>
            </w:r>
            <w:r>
              <w:t xml:space="preserve"> {</w:t>
            </w:r>
            <w:r>
              <w:rPr>
                <w:color w:val="FF0000"/>
              </w:rPr>
              <w:t>n1, n2</w:t>
            </w:r>
            <w:r>
              <w:t xml:space="preserve">}      </w:t>
            </w:r>
            <w:r>
              <w:rPr>
                <w:color w:val="993366"/>
              </w:rPr>
              <w:t>OPTIONAL</w:t>
            </w:r>
            <w:r>
              <w:t xml:space="preserve">,   </w:t>
            </w:r>
            <w:r>
              <w:rPr>
                <w:color w:val="808080"/>
              </w:rPr>
              <w:t>-- Need R</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rPr>
                <w:color w:val="808080"/>
              </w:rPr>
            </w:pPr>
            <w:r>
              <w:t xml:space="preserve">                    aggregationLevel8-r16                   </w:t>
            </w:r>
            <w:r>
              <w:rPr>
                <w:color w:val="993366"/>
              </w:rPr>
              <w:t>ENUMERATED</w:t>
            </w:r>
            <w:r>
              <w:t xml:space="preserve"> {</w:t>
            </w:r>
            <w:r>
              <w:rPr>
                <w:color w:val="FF0000"/>
              </w:rPr>
              <w:t>n1, n2</w:t>
            </w:r>
            <w:r>
              <w:t xml:space="preserve">}      </w:t>
            </w:r>
            <w:r>
              <w:rPr>
                <w:color w:val="993366"/>
              </w:rPr>
              <w:t>OPTIONAL</w:t>
            </w:r>
            <w:r>
              <w:t xml:space="preserve">,   </w:t>
            </w:r>
            <w:r>
              <w:rPr>
                <w:color w:val="808080"/>
              </w:rPr>
              <w:t>-- Need R</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rPr>
                <w:color w:val="808080"/>
              </w:rPr>
            </w:pPr>
            <w:r>
              <w:t xml:space="preserve">                    aggregationLevel16-r16                  </w:t>
            </w:r>
            <w:r>
              <w:rPr>
                <w:color w:val="993366"/>
              </w:rPr>
              <w:t>ENUMERATED</w:t>
            </w:r>
            <w:r>
              <w:t xml:space="preserve"> {</w:t>
            </w:r>
            <w:r>
              <w:rPr>
                <w:color w:val="FF0000"/>
              </w:rPr>
              <w:t>n1, n2</w:t>
            </w:r>
            <w:r>
              <w:t xml:space="preserve">}      </w:t>
            </w:r>
            <w:r>
              <w:rPr>
                <w:color w:val="993366"/>
              </w:rPr>
              <w:t>OPTIONAL</w:t>
            </w:r>
            <w:r>
              <w:t xml:space="preserve">    </w:t>
            </w:r>
            <w:r>
              <w:rPr>
                <w:color w:val="808080"/>
              </w:rPr>
              <w:t>-- Need R</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pPr>
            <w:r>
              <w:t xml:space="preserve">                },</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pPr>
            <w:r>
              <w:t xml:space="preserve">                ...</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pPr>
            <w:r>
              <w:t>}</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pP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rPr>
                <w:color w:val="808080"/>
              </w:rPr>
            </w:pPr>
            <w:r>
              <w:rPr>
                <w:color w:val="808080"/>
              </w:rPr>
              <w:t>-- TAG-SEARCHSPACE-STOP</w:t>
            </w:r>
          </w:p>
          <w:p>
            <w:pPr>
              <w:pStyle w:val="76"/>
              <w:keepNext w:val="0"/>
              <w:keepLines w:val="0"/>
              <w:pageBreakBefore w:val="0"/>
              <w:widowControl/>
              <w:kinsoku/>
              <w:wordWrap/>
              <w:overflowPunct w:val="0"/>
              <w:topLinePunct w:val="0"/>
              <w:autoSpaceDE w:val="0"/>
              <w:autoSpaceDN w:val="0"/>
              <w:bidi w:val="0"/>
              <w:adjustRightInd w:val="0"/>
              <w:snapToGrid/>
              <w:spacing w:before="0" w:line="280" w:lineRule="atLeast"/>
              <w:jc w:val="both"/>
              <w:textAlignment w:val="baseline"/>
            </w:pPr>
            <w:r>
              <w:rPr>
                <w:color w:val="808080"/>
              </w:rPr>
              <w:t>-- ASN1STOP</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3" w:type="dxa"/>
                </w:tcPr>
                <w:p>
                  <w:pPr>
                    <w:pStyle w:val="65"/>
                    <w:spacing w:before="0" w:line="280" w:lineRule="atLeast"/>
                    <w:rPr>
                      <w:b/>
                      <w:bCs/>
                      <w:i/>
                      <w:iCs/>
                      <w:lang w:eastAsia="sv-SE"/>
                    </w:rPr>
                  </w:pPr>
                  <w:r>
                    <w:rPr>
                      <w:b/>
                      <w:bCs/>
                      <w:i/>
                      <w:iCs/>
                      <w:lang w:eastAsia="sv-SE"/>
                    </w:rPr>
                    <w:t>nrofCandidates-CI</w:t>
                  </w:r>
                </w:p>
                <w:p>
                  <w:pPr>
                    <w:spacing w:before="0" w:after="0" w:line="240" w:lineRule="auto"/>
                    <w:rPr>
                      <w:lang w:val="en-GB" w:eastAsia="zh-CN"/>
                    </w:rPr>
                  </w:pPr>
                  <w:r>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bl>
          <w:p>
            <w:pPr>
              <w:spacing w:before="120" w:line="280" w:lineRule="atLeast"/>
              <w:rPr>
                <w:rFonts w:hint="default"/>
                <w:vertAlign w:val="baseline"/>
                <w:lang w:val="en-US" w:eastAsia="zh-CN"/>
              </w:rPr>
            </w:pP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US" w:eastAsia="zh-CN"/>
        </w:rPr>
        <w:t xml:space="preserve">However, the previous agreement seems not to be reflected accurately by the current specifications. This contribution focuses on the analysis of related ambiguity issue to seek the consistent understanding from the perspective of RAN1. In addition, some modification suggestions are provided. </w:t>
      </w:r>
    </w:p>
    <w:p>
      <w:pPr>
        <w:pStyle w:val="2"/>
        <w:rPr>
          <w:lang w:eastAsia="zh-CN"/>
        </w:rPr>
      </w:pPr>
      <w:r>
        <w:rPr>
          <w:rFonts w:hint="eastAsia"/>
          <w:lang w:val="en-US" w:eastAsia="zh-CN"/>
        </w:rPr>
        <w:t>Discussion</w:t>
      </w:r>
    </w:p>
    <w:p>
      <w:pPr>
        <w:rPr>
          <w:rFonts w:hint="eastAsia"/>
          <w:lang w:val="en-US" w:eastAsia="zh-CN"/>
        </w:rPr>
      </w:pPr>
      <w:bookmarkStart w:id="11" w:name="OLE_LINK2"/>
      <w:r>
        <w:rPr>
          <w:rFonts w:hint="eastAsia"/>
          <w:lang w:val="en-US" w:eastAsia="zh-CN"/>
        </w:rPr>
        <w:t xml:space="preserve">The understandings will be different between previous agreements and current specifications. </w:t>
      </w:r>
    </w:p>
    <w:bookmarkEnd w:id="11"/>
    <w:p>
      <w:pPr>
        <w:rPr>
          <w:rFonts w:hint="default"/>
          <w:b/>
          <w:bCs/>
          <w:u w:val="single"/>
          <w:lang w:val="en-US" w:eastAsia="zh-CN"/>
        </w:rPr>
      </w:pPr>
      <w:r>
        <w:rPr>
          <w:rFonts w:hint="eastAsia"/>
          <w:b/>
          <w:bCs/>
          <w:u w:val="single"/>
          <w:lang w:val="en-US" w:eastAsia="zh-CN"/>
        </w:rPr>
        <w:t>Understanding 1: Only one PDCCH candidate can be configured per monitoring occasion for DCI format 2_4, i.e., to align with previous agreements,</w:t>
      </w:r>
    </w:p>
    <w:p>
      <w:pPr>
        <w:rPr>
          <w:rFonts w:hint="eastAsia"/>
          <w:lang w:val="en-US" w:eastAsia="zh-CN"/>
        </w:rPr>
      </w:pPr>
      <w:r>
        <w:rPr>
          <w:rFonts w:hint="eastAsia"/>
          <w:lang w:val="en-US" w:eastAsia="zh-CN"/>
        </w:rPr>
        <w:t xml:space="preserve">In this case, previous RAN1 agreements are honored, and a UE will determine corresponding CCEs for monitoring according to the configuration of one PDCCH candidate. Then, the signaling structure or description in TS 38.331 should be updated accordingly for avoiding to configure value </w:t>
      </w:r>
      <w:r>
        <w:rPr>
          <w:rFonts w:hint="default"/>
          <w:lang w:val="en-US" w:eastAsia="zh-CN"/>
        </w:rPr>
        <w:t>‘</w:t>
      </w:r>
      <w:r>
        <w:rPr>
          <w:rFonts w:hint="eastAsia"/>
          <w:lang w:val="en-US" w:eastAsia="zh-CN"/>
        </w:rPr>
        <w:t>n2</w:t>
      </w:r>
      <w:r>
        <w:rPr>
          <w:rFonts w:hint="default"/>
          <w:lang w:val="en-US" w:eastAsia="zh-CN"/>
        </w:rPr>
        <w:t>’</w:t>
      </w:r>
      <w:r>
        <w:rPr>
          <w:rFonts w:hint="eastAsia"/>
          <w:lang w:val="en-US" w:eastAsia="zh-CN"/>
        </w:rPr>
        <w:t xml:space="preserve"> for </w:t>
      </w:r>
      <w:r>
        <w:rPr>
          <w:i/>
          <w:iCs/>
        </w:rPr>
        <w:t>nrofCandidates-CI-r16</w:t>
      </w:r>
      <w:r>
        <w:rPr>
          <w:rFonts w:hint="eastAsia"/>
          <w:lang w:val="en-US" w:eastAsia="zh-CN"/>
        </w:rPr>
        <w:t xml:space="preserve">. Also, it is redundant to further limit the PDCCH candidate to be monitored is the first one in the specification. And the description in TS38.213 should be updated as follows. </w:t>
      </w:r>
    </w:p>
    <w:p>
      <w:pPr>
        <w:rPr>
          <w:rFonts w:hint="default"/>
          <w:lang w:val="en-US" w:eastAsia="zh-CN"/>
        </w:rPr>
      </w:pPr>
      <w:r>
        <w:rPr>
          <w:b/>
          <w:bCs/>
        </w:rPr>
        <w:t>---------------------</w:t>
      </w:r>
      <w:r>
        <w:rPr>
          <w:rFonts w:hint="eastAsia"/>
          <w:b/>
          <w:bCs/>
          <w:lang w:val="en-US" w:eastAsia="zh-CN"/>
        </w:rPr>
        <w:t>------------</w:t>
      </w:r>
      <w:r>
        <w:rPr>
          <w:b/>
          <w:bCs/>
        </w:rPr>
        <w:t>--</w:t>
      </w:r>
      <w:r>
        <w:rPr>
          <w:b w:val="0"/>
          <w:bCs w:val="0"/>
        </w:rPr>
        <w:t>Text Proposal</w:t>
      </w:r>
      <w:r>
        <w:rPr>
          <w:rFonts w:hint="eastAsia"/>
          <w:b w:val="0"/>
          <w:bCs w:val="0"/>
          <w:lang w:val="en-US" w:eastAsia="zh-CN"/>
        </w:rPr>
        <w:t xml:space="preserve"> #1</w:t>
      </w:r>
      <w:r>
        <w:rPr>
          <w:b w:val="0"/>
          <w:bCs w:val="0"/>
        </w:rPr>
        <w:t xml:space="preserve"> for</w:t>
      </w:r>
      <w:r>
        <w:rPr>
          <w:b w:val="0"/>
          <w:bCs w:val="0"/>
          <w:lang w:val="en-US" w:eastAsia="zh-CN"/>
        </w:rPr>
        <w:t xml:space="preserve"> </w:t>
      </w:r>
      <w:r>
        <w:rPr>
          <w:rFonts w:hint="eastAsia"/>
          <w:b w:val="0"/>
          <w:bCs w:val="0"/>
          <w:lang w:val="en-US" w:eastAsia="zh-CN"/>
        </w:rPr>
        <w:t>Section 10.1 and 11.2A in TS 38.213 g50</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p>
    <w:tbl>
      <w:tblPr>
        <w:tblStyle w:val="51"/>
        <w:tblW w:w="0" w:type="auto"/>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3"/>
              <w:numPr>
                <w:ilvl w:val="-1"/>
                <w:numId w:val="0"/>
              </w:numPr>
              <w:spacing w:line="280" w:lineRule="atLeast"/>
              <w:ind w:left="0" w:firstLine="0"/>
              <w:jc w:val="both"/>
            </w:pPr>
            <w:bookmarkStart w:id="12" w:name="_Toc29899575"/>
            <w:bookmarkStart w:id="13" w:name="_Toc29894858"/>
            <w:bookmarkStart w:id="14" w:name="_Toc66974091"/>
            <w:bookmarkStart w:id="15" w:name="_Toc36498186"/>
            <w:bookmarkStart w:id="16" w:name="_Toc45699213"/>
            <w:bookmarkStart w:id="17" w:name="_Toc12021486"/>
            <w:bookmarkStart w:id="18" w:name="_Toc29899157"/>
            <w:bookmarkStart w:id="19" w:name="_Toc29917312"/>
            <w:bookmarkStart w:id="20" w:name="_Toc20311598"/>
            <w:bookmarkStart w:id="21" w:name="_Toc26719423"/>
            <w:bookmarkStart w:id="22" w:name="_Ref491451763"/>
            <w:bookmarkStart w:id="23" w:name="_Ref491466492"/>
            <w:r>
              <w:t>10</w:t>
            </w:r>
            <w:r>
              <w:rPr>
                <w:rFonts w:hint="eastAsia"/>
              </w:rPr>
              <w:t>.1</w:t>
            </w:r>
            <w:r>
              <w:rPr>
                <w:rFonts w:hint="eastAsia"/>
              </w:rPr>
              <w:tab/>
            </w:r>
            <w:r>
              <w:t>UE procedure for determining physical downlink control channel assignment</w:t>
            </w:r>
            <w:bookmarkEnd w:id="12"/>
            <w:bookmarkEnd w:id="13"/>
            <w:bookmarkEnd w:id="14"/>
            <w:bookmarkEnd w:id="15"/>
            <w:bookmarkEnd w:id="16"/>
            <w:bookmarkEnd w:id="17"/>
            <w:bookmarkEnd w:id="18"/>
            <w:bookmarkEnd w:id="19"/>
            <w:bookmarkEnd w:id="20"/>
            <w:bookmarkEnd w:id="21"/>
            <w:r>
              <w:t xml:space="preserve"> </w:t>
            </w:r>
            <w:bookmarkEnd w:id="22"/>
            <w:bookmarkEnd w:id="23"/>
          </w:p>
          <w:p>
            <w:pPr>
              <w:pStyle w:val="3"/>
              <w:numPr>
                <w:ilvl w:val="1"/>
                <w:numId w:val="0"/>
              </w:numPr>
              <w:spacing w:line="280" w:lineRule="atLeast"/>
              <w:ind w:leftChars="0"/>
              <w:jc w:val="both"/>
              <w:rPr>
                <w:rFonts w:hint="default" w:ascii="Times New Roman" w:hAnsi="Times New Roman" w:cs="Times New Roman"/>
                <w:b/>
                <w:iCs/>
                <w:color w:val="FF0000"/>
                <w:sz w:val="20"/>
                <w:szCs w:val="20"/>
              </w:rPr>
            </w:pPr>
            <w:r>
              <w:rPr>
                <w:rFonts w:hint="default" w:ascii="Times New Roman" w:hAnsi="Times New Roman" w:cs="Times New Roman"/>
                <w:b/>
                <w:iCs/>
                <w:color w:val="FF0000"/>
                <w:sz w:val="20"/>
                <w:szCs w:val="20"/>
              </w:rPr>
              <w:t>&lt;Unchanged parts are omitted&gt;</w:t>
            </w:r>
          </w:p>
          <w:p>
            <w:pPr>
              <w:pStyle w:val="88"/>
              <w:spacing w:before="120" w:line="280" w:lineRule="atLeast"/>
              <w:rPr>
                <w:lang w:val="en-US"/>
              </w:rPr>
            </w:pPr>
            <w:r>
              <w:t>-</w:t>
            </w:r>
            <w:r>
              <w:tab/>
            </w:r>
            <w:r>
              <w:t xml:space="preserve">an indication by </w:t>
            </w:r>
            <w:r>
              <w:rPr>
                <w:i/>
              </w:rPr>
              <w:t>dci-Format2-1</w:t>
            </w:r>
            <w:r>
              <w:rPr>
                <w:lang w:val="en-US"/>
              </w:rPr>
              <w:t xml:space="preserve"> </w:t>
            </w:r>
            <w:r>
              <w:t xml:space="preserve">to monitor PDCCH </w:t>
            </w:r>
            <w:r>
              <w:rPr>
                <w:lang w:val="en-US"/>
              </w:rPr>
              <w:t xml:space="preserve">candidates </w:t>
            </w:r>
            <w:r>
              <w:t>for DCI format 2_1</w:t>
            </w:r>
          </w:p>
          <w:p>
            <w:pPr>
              <w:pStyle w:val="88"/>
              <w:spacing w:before="120" w:line="280" w:lineRule="atLeast"/>
              <w:rPr>
                <w:lang w:val="en-US"/>
              </w:rPr>
            </w:pPr>
            <w:r>
              <w:t>-</w:t>
            </w:r>
            <w:r>
              <w:tab/>
            </w:r>
            <w:r>
              <w:t xml:space="preserve">an indication by </w:t>
            </w:r>
            <w:r>
              <w:rPr>
                <w:i/>
              </w:rPr>
              <w:t>dci-Format2-2</w:t>
            </w:r>
            <w:r>
              <w:rPr>
                <w:lang w:val="en-US"/>
              </w:rPr>
              <w:t xml:space="preserve"> </w:t>
            </w:r>
            <w:r>
              <w:t xml:space="preserve">to monitor PDCCH </w:t>
            </w:r>
            <w:r>
              <w:rPr>
                <w:lang w:val="en-US"/>
              </w:rPr>
              <w:t xml:space="preserve">candidates </w:t>
            </w:r>
            <w:r>
              <w:t>for DCI format 2_2</w:t>
            </w:r>
          </w:p>
          <w:p>
            <w:pPr>
              <w:pStyle w:val="88"/>
              <w:spacing w:before="120" w:line="280" w:lineRule="atLeast"/>
            </w:pPr>
            <w:r>
              <w:t>-</w:t>
            </w:r>
            <w:r>
              <w:tab/>
            </w:r>
            <w:r>
              <w:t xml:space="preserve">an indication by </w:t>
            </w:r>
            <w:r>
              <w:rPr>
                <w:i/>
              </w:rPr>
              <w:t>dci-Format2-3</w:t>
            </w:r>
            <w:r>
              <w:rPr>
                <w:lang w:val="en-US"/>
              </w:rPr>
              <w:t xml:space="preserve"> </w:t>
            </w:r>
            <w:r>
              <w:t xml:space="preserve">to monitor PDCCH </w:t>
            </w:r>
            <w:r>
              <w:rPr>
                <w:lang w:val="en-US"/>
              </w:rPr>
              <w:t xml:space="preserve">candidates </w:t>
            </w:r>
            <w:r>
              <w:t>for DCI format 2_3</w:t>
            </w:r>
          </w:p>
          <w:p>
            <w:pPr>
              <w:pStyle w:val="88"/>
              <w:spacing w:before="120" w:line="280" w:lineRule="atLeast"/>
            </w:pPr>
            <w:r>
              <w:t>-</w:t>
            </w:r>
            <w:r>
              <w:tab/>
            </w:r>
            <w:r>
              <w:t xml:space="preserve">an indication by </w:t>
            </w:r>
            <w:r>
              <w:rPr>
                <w:i/>
              </w:rPr>
              <w:t>dci-Format2-4</w:t>
            </w:r>
            <w:r>
              <w:rPr>
                <w:lang w:val="en-US"/>
              </w:rPr>
              <w:t xml:space="preserve"> </w:t>
            </w:r>
            <w:r>
              <w:t xml:space="preserve">to monitor PDCCH </w:t>
            </w:r>
            <w:r>
              <w:rPr>
                <w:lang w:val="en-US"/>
              </w:rPr>
              <w:t>candidate</w:t>
            </w:r>
            <w:r>
              <w:rPr>
                <w:strike/>
                <w:dstrike w:val="0"/>
                <w:color w:val="FF0000"/>
                <w:lang w:val="en-US"/>
              </w:rPr>
              <w:t>s</w:t>
            </w:r>
            <w:r>
              <w:rPr>
                <w:lang w:val="en-US"/>
              </w:rPr>
              <w:t xml:space="preserve"> </w:t>
            </w:r>
            <w:r>
              <w:t>for DCI format 2_4</w:t>
            </w:r>
          </w:p>
          <w:p>
            <w:pPr>
              <w:pStyle w:val="88"/>
              <w:spacing w:before="120" w:line="280" w:lineRule="atLeast"/>
              <w:rPr>
                <w:lang w:val="en-US"/>
              </w:rPr>
            </w:pPr>
            <w:r>
              <w:t>-</w:t>
            </w:r>
            <w:r>
              <w:tab/>
            </w:r>
            <w:r>
              <w:t xml:space="preserve">an indication by </w:t>
            </w:r>
            <w:r>
              <w:rPr>
                <w:i/>
              </w:rPr>
              <w:t>dci-Format2-6</w:t>
            </w:r>
            <w:r>
              <w:rPr>
                <w:lang w:val="en-US"/>
              </w:rPr>
              <w:t xml:space="preserve"> </w:t>
            </w:r>
            <w:r>
              <w:t xml:space="preserve">to monitor PDCCH </w:t>
            </w:r>
            <w:r>
              <w:rPr>
                <w:lang w:val="en-US"/>
              </w:rPr>
              <w:t xml:space="preserve">candidates </w:t>
            </w:r>
            <w:r>
              <w:t>for DCI format 2_6</w:t>
            </w:r>
          </w:p>
          <w:p>
            <w:pPr>
              <w:pStyle w:val="3"/>
              <w:numPr>
                <w:ilvl w:val="1"/>
                <w:numId w:val="0"/>
              </w:numPr>
              <w:spacing w:line="280" w:lineRule="atLeast"/>
              <w:ind w:leftChars="0"/>
              <w:jc w:val="both"/>
              <w:rPr>
                <w:lang w:eastAsia="zh-CN"/>
              </w:rPr>
            </w:pPr>
            <w:r>
              <w:rPr>
                <w:rFonts w:hint="default" w:ascii="Times New Roman" w:hAnsi="Times New Roman" w:cs="Times New Roman"/>
                <w:b/>
                <w:iCs/>
                <w:color w:val="FF0000"/>
                <w:sz w:val="20"/>
                <w:szCs w:val="20"/>
              </w:rPr>
              <w:t>&lt;Unchanged parts are omitted&gt;</w:t>
            </w:r>
          </w:p>
          <w:p>
            <w:pPr>
              <w:pStyle w:val="3"/>
              <w:numPr>
                <w:ilvl w:val="1"/>
                <w:numId w:val="0"/>
              </w:numPr>
              <w:spacing w:line="280" w:lineRule="atLeast"/>
              <w:ind w:leftChars="0"/>
              <w:jc w:val="both"/>
            </w:pPr>
            <w:r>
              <w:rPr>
                <w:lang w:eastAsia="zh-CN"/>
              </w:rPr>
              <w:t>11.2A</w:t>
            </w:r>
            <w:r>
              <w:rPr>
                <w:lang w:eastAsia="zh-CN"/>
              </w:rPr>
              <w:tab/>
            </w:r>
            <w:r>
              <w:rPr>
                <w:lang w:eastAsia="zh-CN"/>
              </w:rPr>
              <w:t>Cancellation indication</w:t>
            </w:r>
          </w:p>
          <w:p>
            <w:pPr>
              <w:spacing w:before="120" w:line="280" w:lineRule="atLeast"/>
              <w:rPr>
                <w:lang w:val="en-US"/>
              </w:rPr>
            </w:pPr>
            <w:r>
              <w:rPr>
                <w:lang w:eastAsia="zh-CN"/>
              </w:rPr>
              <w:t xml:space="preserve">If a UE is provided </w:t>
            </w:r>
            <w:r>
              <w:rPr>
                <w:i/>
              </w:rPr>
              <w:t>UplinkCancellation</w:t>
            </w:r>
            <w:r>
              <w:rPr>
                <w:lang w:val="en-US"/>
              </w:rPr>
              <w:t xml:space="preserve">, the UE is provided, in one or more serving cells, a search space set for monitoring the </w:t>
            </w:r>
            <w:r>
              <w:rPr>
                <w:strike/>
                <w:dstrike w:val="0"/>
                <w:color w:val="FF0000"/>
                <w:lang w:val="en-US"/>
              </w:rPr>
              <w:t xml:space="preserve">first </w:t>
            </w:r>
            <w:r>
              <w:rPr>
                <w:lang w:val="en-US"/>
              </w:rPr>
              <w:t xml:space="preserve">PDCCH candidate </w:t>
            </w:r>
            <w:r>
              <w:t xml:space="preserve">with a CCE aggregation level of </w:t>
            </w:r>
            <m:oMath>
              <m:sSub>
                <m:sSubPr>
                  <m:ctrlPr>
                    <w:rPr>
                      <w:rFonts w:ascii="Cambria Math" w:hAnsi="Cambria Math"/>
                      <w:i/>
                      <w:iCs/>
                      <w:sz w:val="24"/>
                      <w:szCs w:val="24"/>
                    </w:rPr>
                  </m:ctrlPr>
                </m:sSubPr>
                <m:e>
                  <m:r>
                    <w:rPr>
                      <w:rFonts w:ascii="Cambria Math" w:hAnsi="Cambria Math"/>
                    </w:rPr>
                    <m:t>L</m:t>
                  </m:r>
                  <m:ctrlPr>
                    <w:rPr>
                      <w:rFonts w:ascii="Cambria Math" w:hAnsi="Cambria Math"/>
                      <w:i/>
                      <w:iCs/>
                      <w:sz w:val="24"/>
                      <w:szCs w:val="24"/>
                    </w:rPr>
                  </m:ctrlPr>
                </m:e>
                <m:sub>
                  <m:r>
                    <w:rPr>
                      <w:rFonts w:ascii="Cambria Math" w:hAnsi="Cambria Math"/>
                    </w:rPr>
                    <m:t>CI</m:t>
                  </m:r>
                  <m:ctrlPr>
                    <w:rPr>
                      <w:rFonts w:ascii="Cambria Math" w:hAnsi="Cambria Math"/>
                      <w:i/>
                      <w:iCs/>
                      <w:sz w:val="24"/>
                      <w:szCs w:val="24"/>
                    </w:rPr>
                  </m:ctrlPr>
                </m:sub>
              </m:sSub>
            </m:oMath>
            <w:r>
              <w:t xml:space="preserve"> CCEs </w:t>
            </w:r>
            <w:r>
              <w:rPr>
                <w:lang w:val="en-US"/>
              </w:rPr>
              <w:t xml:space="preserve">of the search space set for detection of a DCI format 2_4 [5, TS 38.212] with </w:t>
            </w:r>
            <w:r>
              <w:t xml:space="preserve">a </w:t>
            </w:r>
            <w:r>
              <w:rPr>
                <w:lang w:val="en-US"/>
              </w:rPr>
              <w:t xml:space="preserve">CI-RNTI provided by </w:t>
            </w:r>
            <w:r>
              <w:rPr>
                <w:i/>
                <w:lang w:val="en-US"/>
              </w:rPr>
              <w:t>ci-RNTI</w:t>
            </w:r>
            <w:r>
              <w:rPr>
                <w:lang w:val="en-US"/>
              </w:rPr>
              <w:t xml:space="preserve"> as described in Clause 10.1. </w:t>
            </w:r>
            <w:r>
              <w:rPr>
                <w:i/>
              </w:rPr>
              <w:t>UplinkCancellation</w:t>
            </w:r>
            <w:r>
              <w:rPr>
                <w:lang w:val="en-US"/>
              </w:rPr>
              <w:t xml:space="preserve"> additionally provides to the UE </w:t>
            </w:r>
          </w:p>
          <w:p>
            <w:pPr>
              <w:pStyle w:val="3"/>
              <w:numPr>
                <w:ilvl w:val="1"/>
                <w:numId w:val="0"/>
              </w:numPr>
              <w:spacing w:line="280" w:lineRule="atLeast"/>
              <w:ind w:leftChars="0"/>
              <w:jc w:val="both"/>
              <w:rPr>
                <w:rFonts w:hint="default"/>
                <w:vertAlign w:val="baseline"/>
                <w:lang w:val="en-US" w:eastAsia="zh-CN"/>
              </w:rPr>
            </w:pPr>
            <w:r>
              <w:rPr>
                <w:rFonts w:hint="default" w:ascii="Times New Roman" w:hAnsi="Times New Roman" w:cs="Times New Roman"/>
                <w:b/>
                <w:iCs/>
                <w:color w:val="FF0000"/>
                <w:sz w:val="20"/>
                <w:szCs w:val="20"/>
              </w:rPr>
              <w:t>&lt;Unchanged parts are omitted&gt;</w:t>
            </w:r>
          </w:p>
        </w:tc>
      </w:tr>
    </w:tbl>
    <w:p>
      <w:pPr>
        <w:rPr>
          <w:rFonts w:hint="eastAsia"/>
          <w:lang w:val="en-US" w:eastAsia="zh-CN"/>
        </w:rPr>
      </w:pPr>
    </w:p>
    <w:p>
      <w:pPr>
        <w:rPr>
          <w:rFonts w:hint="default"/>
          <w:lang w:val="en-US" w:eastAsia="zh-CN"/>
        </w:rPr>
      </w:pPr>
      <w:r>
        <w:rPr>
          <w:rFonts w:hint="eastAsia"/>
          <w:b/>
          <w:bCs/>
          <w:u w:val="single"/>
          <w:lang w:val="en-US" w:eastAsia="zh-CN"/>
        </w:rPr>
        <w:t>Understanding 2: Either one or two PDCCH candidates can be configured per monitoring occasion for DCI format 2_4 and only the first candidate is monitored by UE, i.e., to follow current specifications.</w:t>
      </w:r>
    </w:p>
    <w:p>
      <w:pPr>
        <w:rPr>
          <w:rFonts w:hint="default" w:eastAsia="宋体"/>
          <w:lang w:val="en-US" w:eastAsia="zh-CN"/>
        </w:rPr>
      </w:pPr>
      <w:r>
        <w:rPr>
          <w:rFonts w:hint="eastAsia"/>
          <w:lang w:val="en-US" w:eastAsia="zh-CN"/>
        </w:rPr>
        <w:t xml:space="preserve">If </w:t>
      </w:r>
      <w:r>
        <w:rPr>
          <w:rFonts w:hint="default"/>
          <w:lang w:val="en-US" w:eastAsia="zh-CN"/>
        </w:rPr>
        <w:t>‘</w:t>
      </w:r>
      <w:r>
        <w:rPr>
          <w:rFonts w:hint="eastAsia"/>
          <w:lang w:val="en-US" w:eastAsia="zh-CN"/>
        </w:rPr>
        <w:t>n1</w:t>
      </w:r>
      <w:r>
        <w:rPr>
          <w:rFonts w:hint="default"/>
          <w:lang w:val="en-US" w:eastAsia="zh-CN"/>
        </w:rPr>
        <w:t>’</w:t>
      </w:r>
      <w:r>
        <w:rPr>
          <w:rFonts w:hint="eastAsia"/>
          <w:lang w:val="en-US" w:eastAsia="zh-CN"/>
        </w:rPr>
        <w:t xml:space="preserve"> is configured for </w:t>
      </w:r>
      <w:r>
        <w:rPr>
          <w:i/>
          <w:iCs/>
        </w:rPr>
        <w:t>nrofCandidates-CI-r16</w:t>
      </w:r>
      <w:r>
        <w:rPr>
          <w:rFonts w:hint="eastAsia"/>
          <w:lang w:val="en-US" w:eastAsia="zh-CN"/>
        </w:rPr>
        <w:t xml:space="preserve">, the UE will determine corresponding CCEs for monitoring according to the configuration of one PDCCH candidate. Else if </w:t>
      </w:r>
      <w:r>
        <w:rPr>
          <w:rFonts w:hint="default"/>
          <w:lang w:val="en-US" w:eastAsia="zh-CN"/>
        </w:rPr>
        <w:t>‘</w:t>
      </w:r>
      <w:r>
        <w:rPr>
          <w:rFonts w:hint="eastAsia"/>
          <w:lang w:val="en-US" w:eastAsia="zh-CN"/>
        </w:rPr>
        <w:t>n2</w:t>
      </w:r>
      <w:r>
        <w:rPr>
          <w:rFonts w:hint="default"/>
          <w:lang w:val="en-US" w:eastAsia="zh-CN"/>
        </w:rPr>
        <w:t>’</w:t>
      </w:r>
      <w:r>
        <w:rPr>
          <w:rFonts w:hint="eastAsia"/>
          <w:lang w:val="en-US" w:eastAsia="zh-CN"/>
        </w:rPr>
        <w:t xml:space="preserve"> is configured for </w:t>
      </w:r>
      <w:r>
        <w:rPr>
          <w:i/>
          <w:iCs/>
        </w:rPr>
        <w:t>nrofCandidates-CI-r16</w:t>
      </w:r>
      <w:r>
        <w:rPr>
          <w:rFonts w:hint="eastAsia"/>
          <w:lang w:val="en-US" w:eastAsia="zh-CN"/>
        </w:rPr>
        <w:t>, the UE will determine CCEs for two PDCCH candidates respectively, and only the first one will be monitored.</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lang w:val="en-US" w:eastAsia="zh-CN"/>
        </w:rPr>
      </w:pPr>
      <w:r>
        <w:rPr>
          <w:rFonts w:hint="eastAsia"/>
          <w:b w:val="0"/>
          <w:bCs/>
          <w:i w:val="0"/>
          <w:iCs/>
          <w:lang w:val="en-US" w:eastAsia="zh-CN"/>
        </w:rPr>
        <w:t>In this case</w:t>
      </w:r>
      <w:r>
        <w:rPr>
          <w:rFonts w:hint="eastAsia"/>
          <w:lang w:val="en-US" w:eastAsia="zh-CN"/>
        </w:rPr>
        <w:t xml:space="preserve">, the previous agreements will be overturned, i.e., two PDCCH candidates can also be configured and only the first one will be used for monitoring. The advantage of Understanding 2 is that TS 38.331 do not need to be modified and only minor modification in TS 38.213 is needed as follows. </w:t>
      </w:r>
    </w:p>
    <w:p>
      <w:pPr>
        <w:rPr>
          <w:rFonts w:hint="eastAsia"/>
          <w:lang w:val="en-US" w:eastAsia="zh-CN"/>
        </w:rPr>
      </w:pPr>
      <w:r>
        <w:rPr>
          <w:b/>
          <w:bCs/>
        </w:rPr>
        <w:t>---------------------</w:t>
      </w:r>
      <w:r>
        <w:rPr>
          <w:rFonts w:hint="eastAsia"/>
          <w:b/>
          <w:bCs/>
          <w:lang w:val="en-US" w:eastAsia="zh-CN"/>
        </w:rPr>
        <w:t>------------</w:t>
      </w:r>
      <w:r>
        <w:rPr>
          <w:b/>
          <w:bCs/>
        </w:rPr>
        <w:t>--</w:t>
      </w:r>
      <w:r>
        <w:rPr>
          <w:b w:val="0"/>
          <w:bCs w:val="0"/>
        </w:rPr>
        <w:t>Text Proposal</w:t>
      </w:r>
      <w:r>
        <w:rPr>
          <w:rFonts w:hint="eastAsia"/>
          <w:b w:val="0"/>
          <w:bCs w:val="0"/>
          <w:lang w:val="en-US" w:eastAsia="zh-CN"/>
        </w:rPr>
        <w:t xml:space="preserve"> #2</w:t>
      </w:r>
      <w:r>
        <w:rPr>
          <w:b w:val="0"/>
          <w:bCs w:val="0"/>
        </w:rPr>
        <w:t xml:space="preserve"> for</w:t>
      </w:r>
      <w:r>
        <w:rPr>
          <w:b w:val="0"/>
          <w:bCs w:val="0"/>
          <w:lang w:val="en-US" w:eastAsia="zh-CN"/>
        </w:rPr>
        <w:t xml:space="preserve"> </w:t>
      </w:r>
      <w:r>
        <w:rPr>
          <w:rFonts w:hint="eastAsia"/>
          <w:b w:val="0"/>
          <w:bCs w:val="0"/>
          <w:lang w:val="en-US" w:eastAsia="zh-CN"/>
        </w:rPr>
        <w:t>Section 10.1 in TS 38.213 g50</w:t>
      </w:r>
      <w:r>
        <w:rPr>
          <w:b/>
          <w:bCs/>
        </w:rPr>
        <w:t>---------</w:t>
      </w:r>
      <w:r>
        <w:rPr>
          <w:rFonts w:hint="eastAsia"/>
          <w:b/>
          <w:bCs/>
          <w:lang w:val="en-US" w:eastAsia="zh-CN"/>
        </w:rPr>
        <w:t>---------</w:t>
      </w:r>
      <w:r>
        <w:rPr>
          <w:b/>
          <w:bCs/>
        </w:rPr>
        <w:t>----</w:t>
      </w:r>
      <w:r>
        <w:rPr>
          <w:rFonts w:hint="eastAsia"/>
          <w:b/>
          <w:bCs/>
          <w:lang w:val="en-US" w:eastAsia="zh-CN"/>
        </w:rPr>
        <w:t>---</w:t>
      </w:r>
      <w:r>
        <w:rPr>
          <w:b/>
          <w:bCs/>
        </w:rPr>
        <w:t>----</w:t>
      </w:r>
      <w:r>
        <w:rPr>
          <w:rFonts w:hint="eastAsia"/>
          <w:b/>
          <w:bCs/>
          <w:lang w:val="en-US" w:eastAsia="zh-CN"/>
        </w:rPr>
        <w:t>-</w:t>
      </w:r>
    </w:p>
    <w:tbl>
      <w:tblPr>
        <w:tblStyle w:val="51"/>
        <w:tblW w:w="0" w:type="auto"/>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tcPr>
          <w:p>
            <w:pPr>
              <w:pStyle w:val="3"/>
              <w:numPr>
                <w:ilvl w:val="-1"/>
                <w:numId w:val="0"/>
              </w:numPr>
              <w:spacing w:line="280" w:lineRule="atLeast"/>
              <w:ind w:left="0" w:firstLine="0"/>
              <w:jc w:val="both"/>
            </w:pPr>
            <w:r>
              <w:t>10</w:t>
            </w:r>
            <w:r>
              <w:rPr>
                <w:rFonts w:hint="eastAsia"/>
              </w:rPr>
              <w:t>.1</w:t>
            </w:r>
            <w:r>
              <w:rPr>
                <w:rFonts w:hint="eastAsia"/>
              </w:rPr>
              <w:tab/>
            </w:r>
            <w:r>
              <w:t xml:space="preserve">UE procedure for determining physical downlink control channel assignment </w:t>
            </w:r>
          </w:p>
          <w:p>
            <w:pPr>
              <w:pStyle w:val="3"/>
              <w:numPr>
                <w:ilvl w:val="1"/>
                <w:numId w:val="0"/>
              </w:numPr>
              <w:spacing w:line="280" w:lineRule="atLeast"/>
              <w:ind w:leftChars="0"/>
              <w:jc w:val="both"/>
              <w:rPr>
                <w:rFonts w:hint="default" w:ascii="Times New Roman" w:hAnsi="Times New Roman" w:cs="Times New Roman"/>
                <w:b/>
                <w:iCs/>
                <w:color w:val="FF0000"/>
                <w:sz w:val="20"/>
                <w:szCs w:val="20"/>
              </w:rPr>
            </w:pPr>
            <w:r>
              <w:rPr>
                <w:rFonts w:hint="default" w:ascii="Times New Roman" w:hAnsi="Times New Roman" w:cs="Times New Roman"/>
                <w:b/>
                <w:iCs/>
                <w:color w:val="FF0000"/>
                <w:sz w:val="20"/>
                <w:szCs w:val="20"/>
              </w:rPr>
              <w:t>&lt;Unchanged parts are omitted&gt;</w:t>
            </w:r>
          </w:p>
          <w:p>
            <w:pPr>
              <w:pStyle w:val="88"/>
              <w:spacing w:before="120" w:line="280" w:lineRule="atLeast"/>
              <w:rPr>
                <w:lang w:val="en-US"/>
              </w:rPr>
            </w:pPr>
            <w:r>
              <w:t>-</w:t>
            </w:r>
            <w:r>
              <w:tab/>
            </w:r>
            <w:r>
              <w:t xml:space="preserve">an indication by </w:t>
            </w:r>
            <w:r>
              <w:rPr>
                <w:i/>
              </w:rPr>
              <w:t>dci-Format2-1</w:t>
            </w:r>
            <w:r>
              <w:rPr>
                <w:lang w:val="en-US"/>
              </w:rPr>
              <w:t xml:space="preserve"> </w:t>
            </w:r>
            <w:r>
              <w:t xml:space="preserve">to monitor PDCCH </w:t>
            </w:r>
            <w:r>
              <w:rPr>
                <w:lang w:val="en-US"/>
              </w:rPr>
              <w:t xml:space="preserve">candidates </w:t>
            </w:r>
            <w:r>
              <w:t>for DCI format 2_1</w:t>
            </w:r>
          </w:p>
          <w:p>
            <w:pPr>
              <w:pStyle w:val="88"/>
              <w:spacing w:before="120" w:line="280" w:lineRule="atLeast"/>
              <w:rPr>
                <w:lang w:val="en-US"/>
              </w:rPr>
            </w:pPr>
            <w:r>
              <w:t>-</w:t>
            </w:r>
            <w:r>
              <w:tab/>
            </w:r>
            <w:r>
              <w:t xml:space="preserve">an indication by </w:t>
            </w:r>
            <w:r>
              <w:rPr>
                <w:i/>
              </w:rPr>
              <w:t>dci-Format2-2</w:t>
            </w:r>
            <w:r>
              <w:rPr>
                <w:lang w:val="en-US"/>
              </w:rPr>
              <w:t xml:space="preserve"> </w:t>
            </w:r>
            <w:r>
              <w:t xml:space="preserve">to monitor PDCCH </w:t>
            </w:r>
            <w:r>
              <w:rPr>
                <w:lang w:val="en-US"/>
              </w:rPr>
              <w:t xml:space="preserve">candidates </w:t>
            </w:r>
            <w:r>
              <w:t>for DCI format 2_2</w:t>
            </w:r>
          </w:p>
          <w:p>
            <w:pPr>
              <w:pStyle w:val="88"/>
              <w:spacing w:before="120" w:line="280" w:lineRule="atLeast"/>
            </w:pPr>
            <w:r>
              <w:t>-</w:t>
            </w:r>
            <w:r>
              <w:tab/>
            </w:r>
            <w:r>
              <w:t xml:space="preserve">an indication by </w:t>
            </w:r>
            <w:r>
              <w:rPr>
                <w:i/>
              </w:rPr>
              <w:t>dci-Format2-3</w:t>
            </w:r>
            <w:r>
              <w:rPr>
                <w:lang w:val="en-US"/>
              </w:rPr>
              <w:t xml:space="preserve"> </w:t>
            </w:r>
            <w:r>
              <w:t xml:space="preserve">to monitor PDCCH </w:t>
            </w:r>
            <w:r>
              <w:rPr>
                <w:lang w:val="en-US"/>
              </w:rPr>
              <w:t xml:space="preserve">candidates </w:t>
            </w:r>
            <w:r>
              <w:t>for DCI format 2_3</w:t>
            </w:r>
          </w:p>
          <w:p>
            <w:pPr>
              <w:pStyle w:val="88"/>
              <w:spacing w:before="120" w:line="280" w:lineRule="atLeast"/>
            </w:pPr>
            <w:r>
              <w:t>-</w:t>
            </w:r>
            <w:r>
              <w:tab/>
            </w:r>
            <w:r>
              <w:t xml:space="preserve">an indication by </w:t>
            </w:r>
            <w:r>
              <w:rPr>
                <w:i/>
              </w:rPr>
              <w:t>dci-Format2-4</w:t>
            </w:r>
            <w:r>
              <w:rPr>
                <w:lang w:val="en-US"/>
              </w:rPr>
              <w:t xml:space="preserve"> </w:t>
            </w:r>
            <w:r>
              <w:t xml:space="preserve">to monitor PDCCH </w:t>
            </w:r>
            <w:r>
              <w:rPr>
                <w:lang w:val="en-US"/>
              </w:rPr>
              <w:t>candidate</w:t>
            </w:r>
            <w:r>
              <w:rPr>
                <w:strike/>
                <w:dstrike w:val="0"/>
                <w:color w:val="FF0000"/>
                <w:lang w:val="en-US"/>
              </w:rPr>
              <w:t>s</w:t>
            </w:r>
            <w:r>
              <w:rPr>
                <w:lang w:val="en-US"/>
              </w:rPr>
              <w:t xml:space="preserve"> </w:t>
            </w:r>
            <w:r>
              <w:t>for DCI format 2_4</w:t>
            </w:r>
          </w:p>
          <w:p>
            <w:pPr>
              <w:pStyle w:val="88"/>
              <w:spacing w:before="120" w:line="280" w:lineRule="atLeast"/>
              <w:rPr>
                <w:lang w:val="en-US"/>
              </w:rPr>
            </w:pPr>
            <w:r>
              <w:t>-</w:t>
            </w:r>
            <w:r>
              <w:tab/>
            </w:r>
            <w:r>
              <w:t xml:space="preserve">an indication by </w:t>
            </w:r>
            <w:r>
              <w:rPr>
                <w:i/>
              </w:rPr>
              <w:t>dci-Format2-6</w:t>
            </w:r>
            <w:r>
              <w:rPr>
                <w:lang w:val="en-US"/>
              </w:rPr>
              <w:t xml:space="preserve"> </w:t>
            </w:r>
            <w:r>
              <w:t xml:space="preserve">to monitor PDCCH </w:t>
            </w:r>
            <w:r>
              <w:rPr>
                <w:lang w:val="en-US"/>
              </w:rPr>
              <w:t xml:space="preserve">candidates </w:t>
            </w:r>
            <w:r>
              <w:t>for DCI format 2_6</w:t>
            </w:r>
          </w:p>
          <w:p>
            <w:pPr>
              <w:pStyle w:val="3"/>
              <w:numPr>
                <w:ilvl w:val="1"/>
                <w:numId w:val="0"/>
              </w:numPr>
              <w:spacing w:line="280" w:lineRule="atLeast"/>
              <w:ind w:leftChars="0"/>
              <w:jc w:val="both"/>
              <w:rPr>
                <w:rFonts w:hint="default"/>
                <w:vertAlign w:val="baseline"/>
                <w:lang w:val="en-US" w:eastAsia="zh-CN"/>
              </w:rPr>
            </w:pPr>
            <w:r>
              <w:rPr>
                <w:rFonts w:hint="default" w:ascii="Times New Roman" w:hAnsi="Times New Roman" w:cs="Times New Roman"/>
                <w:b/>
                <w:iCs/>
                <w:color w:val="FF0000"/>
                <w:sz w:val="20"/>
                <w:szCs w:val="20"/>
              </w:rPr>
              <w:t>&lt;Unchanged parts are omitted&gt;</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lang w:val="en-US" w:eastAsia="zh-CN"/>
        </w:rPr>
      </w:pPr>
    </w:p>
    <w:p>
      <w:pPr>
        <w:rPr>
          <w:rFonts w:hint="default"/>
          <w:lang w:val="en-US" w:eastAsia="zh-CN"/>
        </w:rPr>
      </w:pPr>
      <w:r>
        <w:rPr>
          <w:rFonts w:hint="eastAsia"/>
          <w:lang w:val="en-US" w:eastAsia="zh-CN"/>
        </w:rPr>
        <w:t>To avoid confusion, RAN1 needs to reach a common understanding on this issue and update the specifications.</w:t>
      </w:r>
    </w:p>
    <w:p>
      <w:pPr>
        <w:rPr>
          <w:rFonts w:hint="eastAsia"/>
          <w:b w:val="0"/>
          <w:bCs/>
          <w:i/>
          <w:iCs w:val="0"/>
          <w:u w:val="none"/>
          <w:lang w:val="en-US" w:eastAsia="zh-CN"/>
        </w:rPr>
      </w:pPr>
      <w:r>
        <w:rPr>
          <w:rFonts w:hint="eastAsia"/>
          <w:b/>
          <w:i/>
          <w:lang w:val="en-GB" w:eastAsia="zh-CN"/>
        </w:rPr>
        <w:t>P</w:t>
      </w:r>
      <w:r>
        <w:rPr>
          <w:b/>
          <w:i/>
          <w:lang w:val="en-GB" w:eastAsia="zh-CN"/>
        </w:rPr>
        <w:t>roposal 1</w:t>
      </w:r>
      <w:r>
        <w:rPr>
          <w:b w:val="0"/>
          <w:bCs/>
          <w:i/>
          <w:iCs w:val="0"/>
          <w:lang w:val="en-GB" w:eastAsia="zh-CN"/>
        </w:rPr>
        <w:t>:</w:t>
      </w:r>
      <w:r>
        <w:rPr>
          <w:rFonts w:hint="eastAsia"/>
          <w:b w:val="0"/>
          <w:bCs/>
          <w:i/>
          <w:iCs w:val="0"/>
          <w:lang w:val="en-US" w:eastAsia="zh-CN"/>
        </w:rPr>
        <w:t xml:space="preserve"> Clarify the understanding of the maximum number of </w:t>
      </w:r>
      <w:r>
        <w:rPr>
          <w:rFonts w:hint="eastAsia"/>
          <w:b w:val="0"/>
          <w:bCs/>
          <w:i/>
          <w:iCs w:val="0"/>
          <w:u w:val="none"/>
          <w:lang w:val="en-US" w:eastAsia="zh-CN"/>
        </w:rPr>
        <w:t>PDCCH candidates can be configured per monitoring occasion for DCI format 2_4.</w:t>
      </w:r>
    </w:p>
    <w:p>
      <w:pPr>
        <w:numPr>
          <w:ilvl w:val="0"/>
          <w:numId w:val="10"/>
        </w:numPr>
        <w:ind w:left="420" w:hanging="420"/>
        <w:rPr>
          <w:rFonts w:hint="default"/>
          <w:b w:val="0"/>
          <w:bCs/>
          <w:i/>
          <w:iCs w:val="0"/>
          <w:u w:val="none"/>
          <w:lang w:val="en-US" w:eastAsia="zh-CN"/>
        </w:rPr>
      </w:pPr>
      <w:r>
        <w:rPr>
          <w:rFonts w:hint="eastAsia"/>
          <w:b w:val="0"/>
          <w:bCs/>
          <w:i/>
          <w:iCs w:val="0"/>
          <w:u w:val="none"/>
          <w:lang w:val="en-US" w:eastAsia="zh-CN"/>
        </w:rPr>
        <w:t xml:space="preserve">Understanding 1: Only one PDCCH candidate can be configured per monitoring occasion for DCI format 2_4, i.e., to align with previous agreements. </w:t>
      </w:r>
    </w:p>
    <w:p>
      <w:pPr>
        <w:numPr>
          <w:ilvl w:val="1"/>
          <w:numId w:val="10"/>
        </w:numPr>
        <w:ind w:left="840" w:leftChars="0" w:hanging="420" w:firstLineChars="0"/>
        <w:rPr>
          <w:rFonts w:hint="default"/>
          <w:b w:val="0"/>
          <w:bCs/>
          <w:i/>
          <w:iCs w:val="0"/>
          <w:u w:val="none"/>
          <w:lang w:val="en-US" w:eastAsia="zh-CN"/>
        </w:rPr>
      </w:pPr>
      <w:r>
        <w:rPr>
          <w:rFonts w:hint="eastAsia"/>
          <w:b w:val="0"/>
          <w:bCs/>
          <w:i/>
          <w:iCs w:val="0"/>
          <w:u w:val="none"/>
          <w:lang w:val="en-US" w:eastAsia="zh-CN"/>
        </w:rPr>
        <w:t xml:space="preserve">Adopt Text Proposal# 1 above for TS 38.213. </w:t>
      </w:r>
    </w:p>
    <w:p>
      <w:pPr>
        <w:numPr>
          <w:ilvl w:val="0"/>
          <w:numId w:val="10"/>
        </w:numPr>
        <w:ind w:left="420" w:hanging="420"/>
        <w:rPr>
          <w:rFonts w:hint="default"/>
          <w:b w:val="0"/>
          <w:bCs/>
          <w:i/>
          <w:iCs w:val="0"/>
          <w:u w:val="none"/>
          <w:lang w:val="en-US" w:eastAsia="zh-CN"/>
        </w:rPr>
      </w:pPr>
      <w:r>
        <w:rPr>
          <w:rFonts w:hint="eastAsia"/>
          <w:b w:val="0"/>
          <w:bCs/>
          <w:i/>
          <w:iCs w:val="0"/>
          <w:u w:val="none"/>
          <w:lang w:val="en-US" w:eastAsia="zh-CN"/>
        </w:rPr>
        <w:t>Understanding 2: Either one or two PDCCH candidates can be configured per monitoring occasion for DCI format 2_4 and only the first candidate is monitored by UE, i.e., to follow current specifications with minor update.</w:t>
      </w:r>
    </w:p>
    <w:p>
      <w:pPr>
        <w:numPr>
          <w:ilvl w:val="1"/>
          <w:numId w:val="10"/>
        </w:numPr>
        <w:ind w:left="840" w:leftChars="0" w:hanging="420" w:firstLineChars="0"/>
        <w:rPr>
          <w:rFonts w:hint="default"/>
          <w:b w:val="0"/>
          <w:bCs/>
          <w:i/>
          <w:iCs w:val="0"/>
          <w:u w:val="none"/>
          <w:lang w:val="en-US" w:eastAsia="zh-CN"/>
        </w:rPr>
      </w:pPr>
      <w:r>
        <w:rPr>
          <w:rFonts w:hint="eastAsia"/>
          <w:b w:val="0"/>
          <w:bCs/>
          <w:i/>
          <w:iCs w:val="0"/>
          <w:u w:val="none"/>
          <w:lang w:val="en-US" w:eastAsia="zh-CN"/>
        </w:rPr>
        <w:t>Adopt Text Proposal# 2 above for TS 38.213.</w:t>
      </w:r>
    </w:p>
    <w:p>
      <w:pPr>
        <w:pStyle w:val="2"/>
        <w:rPr>
          <w:lang w:eastAsia="zh-CN"/>
        </w:rPr>
      </w:pPr>
      <w:r>
        <w:rPr>
          <w:rFonts w:hint="eastAsia"/>
          <w:lang w:eastAsia="zh-CN"/>
        </w:rPr>
        <w:t>C</w:t>
      </w:r>
      <w:r>
        <w:rPr>
          <w:lang w:eastAsia="zh-CN"/>
        </w:rPr>
        <w:t>onclusion</w:t>
      </w:r>
    </w:p>
    <w:p>
      <w:pPr>
        <w:rPr>
          <w:lang w:val="en-GB" w:eastAsia="zh-CN"/>
        </w:rPr>
      </w:pPr>
      <w:r>
        <w:rPr>
          <w:rFonts w:hint="eastAsia"/>
          <w:lang w:val="en-GB" w:eastAsia="zh-CN"/>
        </w:rPr>
        <w:t>I</w:t>
      </w:r>
      <w:r>
        <w:rPr>
          <w:lang w:val="en-GB" w:eastAsia="zh-CN"/>
        </w:rPr>
        <w:t>n this contribution, we present discussion and analysis on</w:t>
      </w:r>
      <w:r>
        <w:rPr>
          <w:rFonts w:hint="eastAsia"/>
          <w:lang w:val="en-US" w:eastAsia="zh-CN"/>
        </w:rPr>
        <w:t xml:space="preserve"> different</w:t>
      </w:r>
      <w:r>
        <w:rPr>
          <w:rFonts w:hint="eastAsia"/>
          <w:i w:val="0"/>
          <w:iCs/>
          <w:lang w:val="en-US" w:eastAsia="zh-CN"/>
        </w:rPr>
        <w:t xml:space="preserve"> understandings on the maximum number of configurable PDCCH candidates for DCI format 2_4</w:t>
      </w:r>
      <w:r>
        <w:rPr>
          <w:i w:val="0"/>
          <w:iCs/>
          <w:lang w:val="en-GB" w:eastAsia="zh-CN"/>
        </w:rPr>
        <w:t>. The following proposal</w:t>
      </w:r>
      <w:r>
        <w:rPr>
          <w:rFonts w:hint="eastAsia"/>
          <w:i w:val="0"/>
          <w:iCs/>
          <w:lang w:val="en-US" w:eastAsia="zh-CN"/>
        </w:rPr>
        <w:t xml:space="preserve"> is </w:t>
      </w:r>
      <w:r>
        <w:rPr>
          <w:i w:val="0"/>
          <w:iCs/>
          <w:lang w:val="en-GB" w:eastAsia="zh-CN"/>
        </w:rPr>
        <w:t>made.</w:t>
      </w:r>
    </w:p>
    <w:p>
      <w:pPr>
        <w:rPr>
          <w:rFonts w:hint="eastAsia"/>
          <w:b w:val="0"/>
          <w:bCs/>
          <w:i/>
          <w:iCs w:val="0"/>
          <w:u w:val="none"/>
          <w:lang w:val="en-US" w:eastAsia="zh-CN"/>
        </w:rPr>
      </w:pPr>
      <w:r>
        <w:rPr>
          <w:rFonts w:hint="eastAsia"/>
          <w:b/>
          <w:i/>
          <w:lang w:val="en-GB" w:eastAsia="zh-CN"/>
        </w:rPr>
        <w:t>P</w:t>
      </w:r>
      <w:r>
        <w:rPr>
          <w:b/>
          <w:i/>
          <w:lang w:val="en-GB" w:eastAsia="zh-CN"/>
        </w:rPr>
        <w:t>roposal 1</w:t>
      </w:r>
      <w:r>
        <w:rPr>
          <w:b w:val="0"/>
          <w:bCs/>
          <w:i/>
          <w:iCs w:val="0"/>
          <w:lang w:val="en-GB" w:eastAsia="zh-CN"/>
        </w:rPr>
        <w:t>:</w:t>
      </w:r>
      <w:r>
        <w:rPr>
          <w:rFonts w:hint="eastAsia"/>
          <w:b w:val="0"/>
          <w:bCs/>
          <w:i/>
          <w:iCs w:val="0"/>
          <w:lang w:val="en-US" w:eastAsia="zh-CN"/>
        </w:rPr>
        <w:t xml:space="preserve"> Clarify the understanding of the maximum number of </w:t>
      </w:r>
      <w:r>
        <w:rPr>
          <w:rFonts w:hint="eastAsia"/>
          <w:b w:val="0"/>
          <w:bCs/>
          <w:i/>
          <w:iCs w:val="0"/>
          <w:u w:val="none"/>
          <w:lang w:val="en-US" w:eastAsia="zh-CN"/>
        </w:rPr>
        <w:t>PDCCH candidates can be configured per monitoring occasion for DCI format 2_4.</w:t>
      </w:r>
    </w:p>
    <w:p>
      <w:pPr>
        <w:numPr>
          <w:ilvl w:val="0"/>
          <w:numId w:val="10"/>
        </w:numPr>
        <w:ind w:left="420" w:hanging="420"/>
        <w:rPr>
          <w:rFonts w:hint="default"/>
          <w:b w:val="0"/>
          <w:bCs/>
          <w:i/>
          <w:iCs w:val="0"/>
          <w:u w:val="none"/>
          <w:lang w:val="en-US" w:eastAsia="zh-CN"/>
        </w:rPr>
      </w:pPr>
      <w:r>
        <w:rPr>
          <w:rFonts w:hint="eastAsia"/>
          <w:b w:val="0"/>
          <w:bCs/>
          <w:i/>
          <w:iCs w:val="0"/>
          <w:u w:val="none"/>
          <w:lang w:val="en-US" w:eastAsia="zh-CN"/>
        </w:rPr>
        <w:t xml:space="preserve">Understanding 1: Only one PDCCH candidate can be configured per monitoring occasion for DCI format 2_4, i.e., to align with previous agreements. </w:t>
      </w:r>
    </w:p>
    <w:p>
      <w:pPr>
        <w:numPr>
          <w:ilvl w:val="1"/>
          <w:numId w:val="10"/>
        </w:numPr>
        <w:ind w:left="840" w:leftChars="0" w:hanging="420" w:firstLineChars="0"/>
        <w:rPr>
          <w:rFonts w:hint="default"/>
          <w:b w:val="0"/>
          <w:bCs/>
          <w:i/>
          <w:iCs w:val="0"/>
          <w:u w:val="none"/>
          <w:lang w:val="en-US" w:eastAsia="zh-CN"/>
        </w:rPr>
      </w:pPr>
      <w:r>
        <w:rPr>
          <w:rFonts w:hint="eastAsia"/>
          <w:b w:val="0"/>
          <w:bCs/>
          <w:i/>
          <w:iCs w:val="0"/>
          <w:u w:val="none"/>
          <w:lang w:val="en-US" w:eastAsia="zh-CN"/>
        </w:rPr>
        <w:t xml:space="preserve">Adopt Text Proposal# 1 above for TS 38.213. </w:t>
      </w:r>
    </w:p>
    <w:p>
      <w:pPr>
        <w:numPr>
          <w:ilvl w:val="0"/>
          <w:numId w:val="10"/>
        </w:numPr>
        <w:ind w:left="420" w:hanging="420"/>
        <w:rPr>
          <w:rFonts w:hint="default"/>
          <w:b w:val="0"/>
          <w:bCs/>
          <w:i/>
          <w:iCs w:val="0"/>
          <w:u w:val="none"/>
          <w:lang w:val="en-US" w:eastAsia="zh-CN"/>
        </w:rPr>
      </w:pPr>
      <w:r>
        <w:rPr>
          <w:rFonts w:hint="eastAsia"/>
          <w:b w:val="0"/>
          <w:bCs/>
          <w:i/>
          <w:iCs w:val="0"/>
          <w:u w:val="none"/>
          <w:lang w:val="en-US" w:eastAsia="zh-CN"/>
        </w:rPr>
        <w:t>Understanding 2: Either one or two PDCCH candidates can be configured per monitoring occasion for DCI format 2_4 and only the first candidate is monitored by UE, i.e., to follow current specifications with minor update.</w:t>
      </w:r>
    </w:p>
    <w:p>
      <w:pPr>
        <w:numPr>
          <w:ilvl w:val="1"/>
          <w:numId w:val="10"/>
        </w:numPr>
        <w:ind w:left="840" w:leftChars="0" w:hanging="420" w:firstLineChars="0"/>
        <w:rPr>
          <w:rFonts w:hint="default"/>
          <w:b w:val="0"/>
          <w:bCs/>
          <w:i/>
          <w:iCs w:val="0"/>
          <w:u w:val="none"/>
          <w:lang w:val="en-US" w:eastAsia="zh-CN"/>
        </w:rPr>
      </w:pPr>
      <w:r>
        <w:rPr>
          <w:rFonts w:hint="eastAsia"/>
          <w:b w:val="0"/>
          <w:bCs/>
          <w:i/>
          <w:iCs w:val="0"/>
          <w:u w:val="none"/>
          <w:lang w:val="en-US" w:eastAsia="zh-CN"/>
        </w:rPr>
        <w:t>Adopt Text Proposal# 2 above for TS 38.213.</w:t>
      </w:r>
    </w:p>
    <w:p>
      <w:pPr>
        <w:pStyle w:val="2"/>
        <w:rPr>
          <w:lang w:eastAsia="zh-CN"/>
        </w:rPr>
      </w:pPr>
      <w:bookmarkStart w:id="24" w:name="_GoBack"/>
      <w:bookmarkEnd w:id="24"/>
      <w:r>
        <w:rPr>
          <w:rFonts w:hint="eastAsia"/>
          <w:lang w:eastAsia="zh-CN"/>
        </w:rPr>
        <w:t>R</w:t>
      </w:r>
      <w:r>
        <w:rPr>
          <w:lang w:eastAsia="zh-CN"/>
        </w:rPr>
        <w:t>eference</w:t>
      </w:r>
    </w:p>
    <w:p>
      <w:pPr>
        <w:pStyle w:val="126"/>
        <w:rPr>
          <w:lang w:eastAsia="zh-CN"/>
        </w:rPr>
      </w:pPr>
      <w:r>
        <w:rPr>
          <w:rFonts w:hint="eastAsia"/>
          <w:lang w:eastAsia="zh-CN"/>
        </w:rPr>
        <w:t>R</w:t>
      </w:r>
      <w:r>
        <w:rPr>
          <w:lang w:eastAsia="zh-CN"/>
        </w:rPr>
        <w:t>AN1</w:t>
      </w:r>
      <w:r>
        <w:rPr>
          <w:rFonts w:hint="eastAsia"/>
          <w:lang w:eastAsia="zh-CN"/>
        </w:rPr>
        <w:t>#10</w:t>
      </w:r>
      <w:r>
        <w:rPr>
          <w:rFonts w:hint="eastAsia"/>
          <w:lang w:val="en-US" w:eastAsia="zh-CN"/>
        </w:rPr>
        <w:t>0-</w:t>
      </w:r>
      <w:r>
        <w:rPr>
          <w:rFonts w:hint="eastAsia"/>
          <w:lang w:eastAsia="zh-CN"/>
        </w:rPr>
        <w:t>e</w:t>
      </w:r>
      <w:r>
        <w:rPr>
          <w:lang w:eastAsia="zh-CN"/>
        </w:rPr>
        <w:t xml:space="preserve"> chairman note</w:t>
      </w:r>
      <w:r>
        <w:rPr>
          <w:rFonts w:hint="eastAsia"/>
          <w:lang w:eastAsia="zh-CN"/>
        </w:rPr>
        <w:t>.</w:t>
      </w:r>
      <w:r>
        <w:rPr>
          <w:rFonts w:hint="eastAsia"/>
          <w:lang w:val="en-US" w:eastAsia="zh-CN"/>
        </w:rPr>
        <w:t xml:space="preserve"> </w:t>
      </w:r>
    </w:p>
    <w:p>
      <w:pPr>
        <w:pStyle w:val="126"/>
        <w:rPr>
          <w:lang w:eastAsia="zh-CN"/>
        </w:rPr>
      </w:pPr>
      <w:r>
        <w:rPr>
          <w:lang w:eastAsia="zh-CN"/>
        </w:rPr>
        <w:t>RAN1#10</w:t>
      </w:r>
      <w:r>
        <w:rPr>
          <w:rFonts w:hint="eastAsia"/>
          <w:lang w:val="en-US" w:eastAsia="zh-CN"/>
        </w:rPr>
        <w:t>0b-</w:t>
      </w:r>
      <w:r>
        <w:rPr>
          <w:lang w:eastAsia="zh-CN"/>
        </w:rPr>
        <w:t>e chairman note.</w:t>
      </w:r>
      <w:r>
        <w:rPr>
          <w:rFonts w:hint="eastAsia"/>
          <w:lang w:val="en-US" w:eastAsia="zh-CN"/>
        </w:rPr>
        <w:t xml:space="preserve"> </w:t>
      </w:r>
    </w:p>
    <w:p>
      <w:pPr>
        <w:pStyle w:val="126"/>
        <w:rPr>
          <w:lang w:eastAsia="zh-CN"/>
        </w:rPr>
      </w:pPr>
      <w:r>
        <w:rPr>
          <w:rFonts w:hint="eastAsia"/>
          <w:lang w:val="en-US" w:eastAsia="zh-CN"/>
        </w:rPr>
        <w:t xml:space="preserve">TS 38.213-g50, </w:t>
      </w:r>
      <w:r>
        <w:t>Physical layer procedures for control</w:t>
      </w:r>
      <w:r>
        <w:rPr>
          <w:rFonts w:hint="eastAsia"/>
          <w:lang w:val="en-US" w:eastAsia="zh-CN"/>
        </w:rPr>
        <w:t xml:space="preserve">. </w:t>
      </w:r>
    </w:p>
    <w:p>
      <w:pPr>
        <w:pStyle w:val="126"/>
        <w:rPr>
          <w:lang w:eastAsia="zh-CN"/>
        </w:rPr>
      </w:pPr>
      <w:r>
        <w:rPr>
          <w:rFonts w:hint="eastAsia"/>
          <w:lang w:val="en-US" w:eastAsia="zh-CN"/>
        </w:rPr>
        <w:t xml:space="preserve">TS 38.331-g41, </w:t>
      </w:r>
      <w:r>
        <w:rPr>
          <w:rFonts w:hint="eastAsia"/>
        </w:rPr>
        <w:t>Radio Resource Control (RRC) protocol specification</w:t>
      </w:r>
      <w:r>
        <w:rPr>
          <w:rFonts w:hint="eastAsia"/>
          <w:lang w:val="en-US" w:eastAsia="zh-CN"/>
        </w:rPr>
        <w:t xml:space="preserve">. </w:t>
      </w:r>
    </w:p>
    <w:sectPr>
      <w:footerReference r:id="rId3" w:type="default"/>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Wingdings">
    <w:panose1 w:val="05000000000000000000"/>
    <w:charset w:val="00"/>
    <w:family w:val="auto"/>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28E2926"/>
    <w:multiLevelType w:val="multilevel"/>
    <w:tmpl w:val="628E29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E160775"/>
    <w:multiLevelType w:val="multilevel"/>
    <w:tmpl w:val="7E16077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0"/>
  </w:num>
  <w:num w:numId="2">
    <w:abstractNumId w:val="1"/>
  </w:num>
  <w:num w:numId="3">
    <w:abstractNumId w:val="6"/>
  </w:num>
  <w:num w:numId="4">
    <w:abstractNumId w:val="3"/>
  </w:num>
  <w:num w:numId="5">
    <w:abstractNumId w:val="8"/>
  </w:num>
  <w:num w:numId="6">
    <w:abstractNumId w:val="4"/>
  </w:num>
  <w:num w:numId="7">
    <w:abstractNumId w:val="2"/>
  </w:num>
  <w:num w:numId="8">
    <w:abstractNumId w:val="7"/>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76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2CA"/>
    <w:rsid w:val="00016441"/>
    <w:rsid w:val="0001645D"/>
    <w:rsid w:val="000164BB"/>
    <w:rsid w:val="000167A6"/>
    <w:rsid w:val="00016DCE"/>
    <w:rsid w:val="00017309"/>
    <w:rsid w:val="000178F8"/>
    <w:rsid w:val="00017E51"/>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86D"/>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D2B"/>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804"/>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141"/>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70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5F38"/>
    <w:rsid w:val="0010629C"/>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A87"/>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0E0"/>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43D"/>
    <w:rsid w:val="001E6793"/>
    <w:rsid w:val="001E6AC4"/>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B68"/>
    <w:rsid w:val="00241C7B"/>
    <w:rsid w:val="00241D6D"/>
    <w:rsid w:val="00241DBC"/>
    <w:rsid w:val="002421F2"/>
    <w:rsid w:val="00242674"/>
    <w:rsid w:val="0024284B"/>
    <w:rsid w:val="0024286B"/>
    <w:rsid w:val="00242B2A"/>
    <w:rsid w:val="00242B92"/>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7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AD"/>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B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0F1"/>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30C"/>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47B7B"/>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1E9"/>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4A4"/>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80B"/>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E9E"/>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B0B"/>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0C4"/>
    <w:rsid w:val="004A7172"/>
    <w:rsid w:val="004A7276"/>
    <w:rsid w:val="004A746B"/>
    <w:rsid w:val="004A770C"/>
    <w:rsid w:val="004A77E0"/>
    <w:rsid w:val="004A7B2B"/>
    <w:rsid w:val="004A7C0D"/>
    <w:rsid w:val="004A7EE7"/>
    <w:rsid w:val="004A7FB0"/>
    <w:rsid w:val="004B0706"/>
    <w:rsid w:val="004B0780"/>
    <w:rsid w:val="004B0787"/>
    <w:rsid w:val="004B0B32"/>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827"/>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2D"/>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03"/>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2E55"/>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D2F"/>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36D"/>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C30"/>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0D7"/>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C5"/>
    <w:rsid w:val="006B24F8"/>
    <w:rsid w:val="006B254D"/>
    <w:rsid w:val="006B2DF5"/>
    <w:rsid w:val="006B3171"/>
    <w:rsid w:val="006B34DD"/>
    <w:rsid w:val="006B393F"/>
    <w:rsid w:val="006B3E55"/>
    <w:rsid w:val="006B401E"/>
    <w:rsid w:val="006B4B0E"/>
    <w:rsid w:val="006B4EF3"/>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88"/>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93C"/>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379EE"/>
    <w:rsid w:val="007401AF"/>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824"/>
    <w:rsid w:val="00775BAA"/>
    <w:rsid w:val="00775C35"/>
    <w:rsid w:val="00775EFD"/>
    <w:rsid w:val="00775F11"/>
    <w:rsid w:val="0077621F"/>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5CF1"/>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384"/>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C9"/>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63"/>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D77AB"/>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BC"/>
    <w:rsid w:val="00800DDB"/>
    <w:rsid w:val="008013B8"/>
    <w:rsid w:val="008016C8"/>
    <w:rsid w:val="0080179D"/>
    <w:rsid w:val="00801838"/>
    <w:rsid w:val="008018DC"/>
    <w:rsid w:val="00802410"/>
    <w:rsid w:val="0080270F"/>
    <w:rsid w:val="00802FDA"/>
    <w:rsid w:val="00803160"/>
    <w:rsid w:val="008036F8"/>
    <w:rsid w:val="0080378D"/>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B08"/>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6F1E"/>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C25"/>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737"/>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880"/>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B71"/>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295"/>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51"/>
    <w:rsid w:val="009E2CB8"/>
    <w:rsid w:val="009E2DD3"/>
    <w:rsid w:val="009E2EAE"/>
    <w:rsid w:val="009E2F97"/>
    <w:rsid w:val="009E342B"/>
    <w:rsid w:val="009E3644"/>
    <w:rsid w:val="009E3759"/>
    <w:rsid w:val="009E3790"/>
    <w:rsid w:val="009E3C31"/>
    <w:rsid w:val="009E3E19"/>
    <w:rsid w:val="009E457F"/>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B65"/>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E2"/>
    <w:rsid w:val="00A329BB"/>
    <w:rsid w:val="00A32A44"/>
    <w:rsid w:val="00A32C37"/>
    <w:rsid w:val="00A331E5"/>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67DDA"/>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A7DF7"/>
    <w:rsid w:val="00AB001C"/>
    <w:rsid w:val="00AB0295"/>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71"/>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2DD"/>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685"/>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2D0"/>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04B"/>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40AB"/>
    <w:rsid w:val="00B64124"/>
    <w:rsid w:val="00B64398"/>
    <w:rsid w:val="00B64484"/>
    <w:rsid w:val="00B645F8"/>
    <w:rsid w:val="00B64A44"/>
    <w:rsid w:val="00B64F38"/>
    <w:rsid w:val="00B652B0"/>
    <w:rsid w:val="00B65771"/>
    <w:rsid w:val="00B66254"/>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3B9"/>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67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5E7"/>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7C3"/>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118"/>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52"/>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08"/>
    <w:rsid w:val="00CC32B0"/>
    <w:rsid w:val="00CC34E2"/>
    <w:rsid w:val="00CC3983"/>
    <w:rsid w:val="00CC3D8D"/>
    <w:rsid w:val="00CC3E8C"/>
    <w:rsid w:val="00CC400F"/>
    <w:rsid w:val="00CC4365"/>
    <w:rsid w:val="00CC4C5E"/>
    <w:rsid w:val="00CC4C9E"/>
    <w:rsid w:val="00CC4CD7"/>
    <w:rsid w:val="00CC4F58"/>
    <w:rsid w:val="00CC57AE"/>
    <w:rsid w:val="00CC5AE0"/>
    <w:rsid w:val="00CC6051"/>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674"/>
    <w:rsid w:val="00D56810"/>
    <w:rsid w:val="00D56C31"/>
    <w:rsid w:val="00D56D65"/>
    <w:rsid w:val="00D572B2"/>
    <w:rsid w:val="00D5785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2F9"/>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66E"/>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67E"/>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D1C"/>
    <w:rsid w:val="00DE5FDA"/>
    <w:rsid w:val="00DE61AA"/>
    <w:rsid w:val="00DE6634"/>
    <w:rsid w:val="00DE67AE"/>
    <w:rsid w:val="00DE6E12"/>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D08"/>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A1A"/>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9F3"/>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8EB"/>
    <w:rsid w:val="00E339C6"/>
    <w:rsid w:val="00E33B8C"/>
    <w:rsid w:val="00E33D92"/>
    <w:rsid w:val="00E33E4D"/>
    <w:rsid w:val="00E34D6F"/>
    <w:rsid w:val="00E34F08"/>
    <w:rsid w:val="00E35029"/>
    <w:rsid w:val="00E35698"/>
    <w:rsid w:val="00E358D7"/>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4C67"/>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2FA6"/>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104"/>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2FE"/>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EA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C12"/>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182"/>
    <w:rsid w:val="00F75A01"/>
    <w:rsid w:val="00F75C0B"/>
    <w:rsid w:val="00F763DF"/>
    <w:rsid w:val="00F76B16"/>
    <w:rsid w:val="00F77028"/>
    <w:rsid w:val="00F77444"/>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2E3"/>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CAC"/>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14F7D09"/>
    <w:rsid w:val="01FD244D"/>
    <w:rsid w:val="0284643E"/>
    <w:rsid w:val="03532C3F"/>
    <w:rsid w:val="03B25C4C"/>
    <w:rsid w:val="03F94E83"/>
    <w:rsid w:val="03FC4856"/>
    <w:rsid w:val="041A593A"/>
    <w:rsid w:val="05B17F92"/>
    <w:rsid w:val="067D4C1C"/>
    <w:rsid w:val="06B127E5"/>
    <w:rsid w:val="072F2729"/>
    <w:rsid w:val="07495D93"/>
    <w:rsid w:val="07C21FA9"/>
    <w:rsid w:val="0957797D"/>
    <w:rsid w:val="0972706B"/>
    <w:rsid w:val="09C21BB6"/>
    <w:rsid w:val="0ABD7848"/>
    <w:rsid w:val="0AFC60B7"/>
    <w:rsid w:val="0B1933DA"/>
    <w:rsid w:val="0BAD7041"/>
    <w:rsid w:val="0C2017CD"/>
    <w:rsid w:val="0C48621C"/>
    <w:rsid w:val="0C6F5654"/>
    <w:rsid w:val="0D132BA9"/>
    <w:rsid w:val="0D660AC2"/>
    <w:rsid w:val="0D672BF6"/>
    <w:rsid w:val="0DE16A46"/>
    <w:rsid w:val="0E120AD5"/>
    <w:rsid w:val="0EB06FFE"/>
    <w:rsid w:val="0F334DEC"/>
    <w:rsid w:val="0F5643E3"/>
    <w:rsid w:val="10150A41"/>
    <w:rsid w:val="10544A4E"/>
    <w:rsid w:val="10F76424"/>
    <w:rsid w:val="114A25F6"/>
    <w:rsid w:val="1257267A"/>
    <w:rsid w:val="12A472D8"/>
    <w:rsid w:val="12BA1C71"/>
    <w:rsid w:val="12DA318C"/>
    <w:rsid w:val="12FE321B"/>
    <w:rsid w:val="130859B8"/>
    <w:rsid w:val="141F2191"/>
    <w:rsid w:val="1575AEB2"/>
    <w:rsid w:val="164F7F6D"/>
    <w:rsid w:val="165E068A"/>
    <w:rsid w:val="16C32995"/>
    <w:rsid w:val="1702D3F2"/>
    <w:rsid w:val="174A2A64"/>
    <w:rsid w:val="188D2058"/>
    <w:rsid w:val="18955C5C"/>
    <w:rsid w:val="18BA7603"/>
    <w:rsid w:val="18FD3F86"/>
    <w:rsid w:val="192B740B"/>
    <w:rsid w:val="19CB44D5"/>
    <w:rsid w:val="1A514204"/>
    <w:rsid w:val="1A9423FC"/>
    <w:rsid w:val="1B2E10AB"/>
    <w:rsid w:val="1B2E6DC7"/>
    <w:rsid w:val="1B357BCB"/>
    <w:rsid w:val="1B3F708B"/>
    <w:rsid w:val="1B5316CE"/>
    <w:rsid w:val="1B5E59D2"/>
    <w:rsid w:val="1C766428"/>
    <w:rsid w:val="1DD50930"/>
    <w:rsid w:val="1DF11643"/>
    <w:rsid w:val="1DF407BB"/>
    <w:rsid w:val="1E38003B"/>
    <w:rsid w:val="1EB96E9E"/>
    <w:rsid w:val="1F1B2F44"/>
    <w:rsid w:val="1F850095"/>
    <w:rsid w:val="1FB91CD0"/>
    <w:rsid w:val="20910CB1"/>
    <w:rsid w:val="209D5BDE"/>
    <w:rsid w:val="20CD42FE"/>
    <w:rsid w:val="21035A99"/>
    <w:rsid w:val="21282288"/>
    <w:rsid w:val="21FA2867"/>
    <w:rsid w:val="23680C07"/>
    <w:rsid w:val="239E142D"/>
    <w:rsid w:val="23FB7861"/>
    <w:rsid w:val="24092FA7"/>
    <w:rsid w:val="245870DE"/>
    <w:rsid w:val="247247A7"/>
    <w:rsid w:val="2473146A"/>
    <w:rsid w:val="24954961"/>
    <w:rsid w:val="27C21781"/>
    <w:rsid w:val="27C5366D"/>
    <w:rsid w:val="27DD67CA"/>
    <w:rsid w:val="28690808"/>
    <w:rsid w:val="28A85007"/>
    <w:rsid w:val="28B07E55"/>
    <w:rsid w:val="28B54AA2"/>
    <w:rsid w:val="291F66CF"/>
    <w:rsid w:val="2936214E"/>
    <w:rsid w:val="29E343AC"/>
    <w:rsid w:val="2A0F0B23"/>
    <w:rsid w:val="2AFE2B7E"/>
    <w:rsid w:val="2C9B3971"/>
    <w:rsid w:val="2D376513"/>
    <w:rsid w:val="2DC863F1"/>
    <w:rsid w:val="2E6879EE"/>
    <w:rsid w:val="2E8D36D5"/>
    <w:rsid w:val="2EB72406"/>
    <w:rsid w:val="2EBC4B2D"/>
    <w:rsid w:val="2EFF33F8"/>
    <w:rsid w:val="2F2367DE"/>
    <w:rsid w:val="2F8121A9"/>
    <w:rsid w:val="30915C04"/>
    <w:rsid w:val="31542D3B"/>
    <w:rsid w:val="32182C3B"/>
    <w:rsid w:val="32832752"/>
    <w:rsid w:val="32D442A7"/>
    <w:rsid w:val="32FE23BF"/>
    <w:rsid w:val="330E6893"/>
    <w:rsid w:val="33845B08"/>
    <w:rsid w:val="33DE0CB9"/>
    <w:rsid w:val="350C50D1"/>
    <w:rsid w:val="3511129D"/>
    <w:rsid w:val="356927F3"/>
    <w:rsid w:val="359455FE"/>
    <w:rsid w:val="359D4E0A"/>
    <w:rsid w:val="364B413C"/>
    <w:rsid w:val="36980F6B"/>
    <w:rsid w:val="36CD07B0"/>
    <w:rsid w:val="375C57D7"/>
    <w:rsid w:val="37DD651E"/>
    <w:rsid w:val="38BA113F"/>
    <w:rsid w:val="39D57D5E"/>
    <w:rsid w:val="3A1015C1"/>
    <w:rsid w:val="3A135075"/>
    <w:rsid w:val="3A8424B5"/>
    <w:rsid w:val="3AB31D0C"/>
    <w:rsid w:val="3B1D20AC"/>
    <w:rsid w:val="3B4A3B53"/>
    <w:rsid w:val="3C923082"/>
    <w:rsid w:val="3D0354C7"/>
    <w:rsid w:val="3D7642C9"/>
    <w:rsid w:val="3DDA6D42"/>
    <w:rsid w:val="3E7347F4"/>
    <w:rsid w:val="3EF83C43"/>
    <w:rsid w:val="3F01664D"/>
    <w:rsid w:val="3F175FC8"/>
    <w:rsid w:val="3F944AE3"/>
    <w:rsid w:val="3FD010A5"/>
    <w:rsid w:val="401C0278"/>
    <w:rsid w:val="406B630C"/>
    <w:rsid w:val="40850DCD"/>
    <w:rsid w:val="41AC1D9C"/>
    <w:rsid w:val="420670A2"/>
    <w:rsid w:val="4242619A"/>
    <w:rsid w:val="4287450F"/>
    <w:rsid w:val="42A0518C"/>
    <w:rsid w:val="42B20782"/>
    <w:rsid w:val="44917C93"/>
    <w:rsid w:val="456F7E89"/>
    <w:rsid w:val="46D41E44"/>
    <w:rsid w:val="46FD4D28"/>
    <w:rsid w:val="47AE2F53"/>
    <w:rsid w:val="48A15089"/>
    <w:rsid w:val="48A362E3"/>
    <w:rsid w:val="48D27D0A"/>
    <w:rsid w:val="496938E0"/>
    <w:rsid w:val="49882B35"/>
    <w:rsid w:val="4B3872E6"/>
    <w:rsid w:val="4B7338A2"/>
    <w:rsid w:val="4BC2698A"/>
    <w:rsid w:val="4C3C786C"/>
    <w:rsid w:val="4CA149AE"/>
    <w:rsid w:val="4DDD2CEC"/>
    <w:rsid w:val="4DF51404"/>
    <w:rsid w:val="4E5633F4"/>
    <w:rsid w:val="4E7740D9"/>
    <w:rsid w:val="4EAC0AFF"/>
    <w:rsid w:val="4EC2021D"/>
    <w:rsid w:val="4FA32A72"/>
    <w:rsid w:val="50FD13B2"/>
    <w:rsid w:val="513A7A58"/>
    <w:rsid w:val="514F2DF2"/>
    <w:rsid w:val="52475339"/>
    <w:rsid w:val="52FE30BB"/>
    <w:rsid w:val="536E79E7"/>
    <w:rsid w:val="539A44CE"/>
    <w:rsid w:val="53D72B58"/>
    <w:rsid w:val="543E0FC0"/>
    <w:rsid w:val="54CE2507"/>
    <w:rsid w:val="55181CD2"/>
    <w:rsid w:val="55731E23"/>
    <w:rsid w:val="55D01D97"/>
    <w:rsid w:val="561024C1"/>
    <w:rsid w:val="56DD68A4"/>
    <w:rsid w:val="57244B18"/>
    <w:rsid w:val="57EF6871"/>
    <w:rsid w:val="58240039"/>
    <w:rsid w:val="58737EF7"/>
    <w:rsid w:val="592B30A1"/>
    <w:rsid w:val="595A121E"/>
    <w:rsid w:val="59C75644"/>
    <w:rsid w:val="5A943785"/>
    <w:rsid w:val="5AF07FF7"/>
    <w:rsid w:val="5AF422E5"/>
    <w:rsid w:val="5AF82B4D"/>
    <w:rsid w:val="5BF26431"/>
    <w:rsid w:val="5BF56220"/>
    <w:rsid w:val="5E780DEA"/>
    <w:rsid w:val="5F246532"/>
    <w:rsid w:val="5F4D6774"/>
    <w:rsid w:val="5F5112C0"/>
    <w:rsid w:val="5F54074B"/>
    <w:rsid w:val="5F631FA8"/>
    <w:rsid w:val="612410DE"/>
    <w:rsid w:val="61846ED7"/>
    <w:rsid w:val="654B0FB9"/>
    <w:rsid w:val="65507243"/>
    <w:rsid w:val="656027FF"/>
    <w:rsid w:val="66457E51"/>
    <w:rsid w:val="6680376E"/>
    <w:rsid w:val="66AB1580"/>
    <w:rsid w:val="66D62CB0"/>
    <w:rsid w:val="66ED31EA"/>
    <w:rsid w:val="67D4666E"/>
    <w:rsid w:val="68E33A4F"/>
    <w:rsid w:val="691A3243"/>
    <w:rsid w:val="696C42BB"/>
    <w:rsid w:val="698A6B0F"/>
    <w:rsid w:val="699B771B"/>
    <w:rsid w:val="69C64E3C"/>
    <w:rsid w:val="6A782EAA"/>
    <w:rsid w:val="6A9B7566"/>
    <w:rsid w:val="6B704279"/>
    <w:rsid w:val="6D020EA1"/>
    <w:rsid w:val="6E0F1211"/>
    <w:rsid w:val="6E9A7650"/>
    <w:rsid w:val="6EB76169"/>
    <w:rsid w:val="6EC32FAA"/>
    <w:rsid w:val="6F520E82"/>
    <w:rsid w:val="6FBD0858"/>
    <w:rsid w:val="70277F4F"/>
    <w:rsid w:val="706E7F8A"/>
    <w:rsid w:val="709136B6"/>
    <w:rsid w:val="71CA3592"/>
    <w:rsid w:val="72446E4F"/>
    <w:rsid w:val="72E1752D"/>
    <w:rsid w:val="73A015C2"/>
    <w:rsid w:val="73A913CF"/>
    <w:rsid w:val="73EB1497"/>
    <w:rsid w:val="74000A47"/>
    <w:rsid w:val="745A1400"/>
    <w:rsid w:val="74885606"/>
    <w:rsid w:val="751115BE"/>
    <w:rsid w:val="75740E00"/>
    <w:rsid w:val="75CA73F4"/>
    <w:rsid w:val="763A080C"/>
    <w:rsid w:val="76783EB1"/>
    <w:rsid w:val="76962597"/>
    <w:rsid w:val="76EB5B39"/>
    <w:rsid w:val="776F4F23"/>
    <w:rsid w:val="78156E78"/>
    <w:rsid w:val="782D5EAF"/>
    <w:rsid w:val="789F1175"/>
    <w:rsid w:val="78A05BD6"/>
    <w:rsid w:val="78A164CB"/>
    <w:rsid w:val="7931734A"/>
    <w:rsid w:val="7ADB38D4"/>
    <w:rsid w:val="7B3749D3"/>
    <w:rsid w:val="7BAA37EA"/>
    <w:rsid w:val="7C1F4C14"/>
    <w:rsid w:val="7C224B46"/>
    <w:rsid w:val="7C8C4BA7"/>
    <w:rsid w:val="7DD2691C"/>
    <w:rsid w:val="7DED073F"/>
    <w:rsid w:val="7E3563A1"/>
    <w:rsid w:val="7E7306BF"/>
    <w:rsid w:val="7E9326F9"/>
    <w:rsid w:val="7EE20452"/>
    <w:rsid w:val="7F395D9C"/>
    <w:rsid w:val="7F915DF3"/>
    <w:rsid w:val="7FCC0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ascii="Times New Roman" w:hAnsi="Times New Roman" w:eastAsia="Times New Roman"/>
    </w:rPr>
    <w:tblPr>
      <w:tblCellMar>
        <w:top w:w="0" w:type="dxa"/>
        <w:left w:w="108" w:type="dxa"/>
        <w:bottom w:w="0" w:type="dxa"/>
        <w:right w:w="108" w:type="dxa"/>
      </w:tblCellMar>
    </w:tblPr>
  </w:style>
  <w:style w:type="paragraph" w:customStyle="1" w:styleId="157">
    <w:name w:val="正文3"/>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8">
    <w:name w:val="标题 11"/>
    <w:basedOn w:val="1"/>
    <w:next w:val="157"/>
    <w:qFormat/>
    <w:uiPriority w:val="0"/>
    <w:pPr>
      <w:keepNext/>
      <w:keepLines/>
      <w:widowControl w:val="0"/>
      <w:pBdr>
        <w:top w:val="single" w:color="auto" w:sz="12" w:space="3"/>
      </w:pBdr>
      <w:spacing w:before="240"/>
      <w:ind w:left="1134" w:hanging="1134"/>
      <w:jc w:val="left"/>
      <w:outlineLvl w:val="0"/>
    </w:pPr>
    <w:rPr>
      <w:rFonts w:ascii="Arial" w:hAnsi="Arial" w:eastAsia="Times New Roman"/>
      <w:sz w:val="36"/>
      <w:szCs w:val="36"/>
      <w:lang w:eastAsia="zh-CN"/>
    </w:rPr>
  </w:style>
  <w:style w:type="table" w:customStyle="1" w:styleId="159">
    <w:name w:val="普通表格3"/>
    <w:semiHidden/>
    <w:qFormat/>
    <w:uiPriority w:val="0"/>
    <w:rPr>
      <w:rFonts w:ascii="Times New Roman" w:hAnsi="Times New Roman" w:eastAsia="Times New Roman"/>
    </w:rPr>
    <w:tblPr>
      <w:tblCellMar>
        <w:top w:w="0" w:type="dxa"/>
        <w:left w:w="108" w:type="dxa"/>
        <w:bottom w:w="0" w:type="dxa"/>
        <w:right w:w="108" w:type="dxa"/>
      </w:tblCellMar>
    </w:tblPr>
  </w:style>
  <w:style w:type="character" w:customStyle="1" w:styleId="160">
    <w:name w:val="List Paragraph Char1"/>
    <w:qFormat/>
    <w:locked/>
    <w:uiPriority w:val="34"/>
    <w:rPr>
      <w:rFonts w:ascii="Times New Roman" w:hAnsi="Times New Roman" w:eastAsia="Calibri"/>
      <w:szCs w:val="2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9BDAF32-1814-41BD-88D2-44C5406B45B9}">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4</Pages>
  <Words>1577</Words>
  <Characters>8994</Characters>
  <Lines>74</Lines>
  <Paragraphs>21</Paragraphs>
  <TotalTime>0</TotalTime>
  <ScaleCrop>false</ScaleCrop>
  <LinksUpToDate>false</LinksUpToDate>
  <CharactersWithSpaces>10550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2020-09-07T13:54:00Z</dcterms:created>
  <dc:creator>ZTE Corporation</dc:creator>
  <cp:lastModifiedBy>ZTE</cp:lastModifiedBy>
  <cp:lastPrinted>2018-04-07T03:05:00Z</cp:lastPrinted>
  <dcterms:modified xsi:type="dcterms:W3CDTF">2021-03-31T09:32:43Z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